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26" w:rsidRPr="00522D65" w:rsidRDefault="0043309D" w:rsidP="000F1626">
      <w:pPr>
        <w:jc w:val="center"/>
        <w:rPr>
          <w:rFonts w:eastAsia="Calibri" w:cstheme="minorHAnsi"/>
          <w:b/>
          <w:sz w:val="20"/>
          <w:szCs w:val="20"/>
        </w:rPr>
      </w:pPr>
      <w:r>
        <w:rPr>
          <w:rFonts w:eastAsia="Calibri" w:cstheme="minorHAnsi"/>
          <w:b/>
          <w:sz w:val="20"/>
          <w:szCs w:val="20"/>
        </w:rPr>
        <w:t>Cuenta Pública 2021</w:t>
      </w:r>
    </w:p>
    <w:p w:rsidR="000F1626" w:rsidRPr="00522D65" w:rsidRDefault="000F1626" w:rsidP="000F1626">
      <w:pPr>
        <w:jc w:val="center"/>
        <w:rPr>
          <w:rFonts w:eastAsia="Calibri" w:cstheme="minorHAnsi"/>
          <w:b/>
          <w:sz w:val="20"/>
          <w:szCs w:val="20"/>
        </w:rPr>
      </w:pPr>
      <w:r w:rsidRPr="00522D65">
        <w:rPr>
          <w:rFonts w:eastAsia="Calibri" w:cstheme="minorHAnsi"/>
          <w:b/>
          <w:sz w:val="20"/>
          <w:szCs w:val="20"/>
        </w:rPr>
        <w:t>Not</w:t>
      </w:r>
      <w:r w:rsidR="00B84968">
        <w:rPr>
          <w:rFonts w:eastAsia="Calibri" w:cstheme="minorHAnsi"/>
          <w:b/>
          <w:sz w:val="20"/>
          <w:szCs w:val="20"/>
        </w:rPr>
        <w:t>a</w:t>
      </w:r>
      <w:r w:rsidR="00D157C3">
        <w:rPr>
          <w:rFonts w:eastAsia="Calibri" w:cstheme="minorHAnsi"/>
          <w:b/>
          <w:sz w:val="20"/>
          <w:szCs w:val="20"/>
        </w:rPr>
        <w:t>s</w:t>
      </w:r>
      <w:r w:rsidR="00B84968">
        <w:rPr>
          <w:rFonts w:eastAsia="Calibri" w:cstheme="minorHAnsi"/>
          <w:b/>
          <w:sz w:val="20"/>
          <w:szCs w:val="20"/>
        </w:rPr>
        <w:t xml:space="preserve"> a los Estados Financieros</w:t>
      </w:r>
      <w:r w:rsidR="00FA30AA">
        <w:rPr>
          <w:rFonts w:eastAsia="Calibri" w:cstheme="minorHAnsi"/>
          <w:b/>
          <w:sz w:val="20"/>
          <w:szCs w:val="20"/>
        </w:rPr>
        <w:t xml:space="preserve"> al 30 de junio</w:t>
      </w:r>
      <w:r w:rsidR="0043309D">
        <w:rPr>
          <w:rFonts w:eastAsia="Calibri" w:cstheme="minorHAnsi"/>
          <w:b/>
          <w:sz w:val="20"/>
          <w:szCs w:val="20"/>
        </w:rPr>
        <w:t xml:space="preserve"> de 2021</w:t>
      </w:r>
    </w:p>
    <w:p w:rsidR="000F1626" w:rsidRPr="00522D65" w:rsidRDefault="000F1626" w:rsidP="00AA1395">
      <w:pPr>
        <w:jc w:val="both"/>
        <w:rPr>
          <w:rFonts w:cstheme="minorHAnsi"/>
          <w:sz w:val="20"/>
          <w:szCs w:val="20"/>
        </w:rPr>
      </w:pPr>
      <w:r w:rsidRPr="00522D65">
        <w:rPr>
          <w:rFonts w:cstheme="minorHAnsi"/>
          <w:sz w:val="20"/>
          <w:szCs w:val="20"/>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rsidR="000F1626" w:rsidRPr="00522D65" w:rsidRDefault="000F1626" w:rsidP="00AA1395">
      <w:pPr>
        <w:jc w:val="both"/>
        <w:rPr>
          <w:rFonts w:cstheme="minorHAnsi"/>
          <w:sz w:val="20"/>
          <w:szCs w:val="20"/>
        </w:rPr>
      </w:pPr>
      <w:r w:rsidRPr="00522D65">
        <w:rPr>
          <w:rFonts w:cstheme="minorHAnsi"/>
          <w:sz w:val="20"/>
          <w:szCs w:val="20"/>
        </w:rPr>
        <w:t>A continuación, se presentan los tres tipos de notas que acompañan a los estados, a saber:</w:t>
      </w:r>
    </w:p>
    <w:p w:rsidR="000F1626" w:rsidRPr="00522D65" w:rsidRDefault="000F1626" w:rsidP="00AA1395">
      <w:pPr>
        <w:jc w:val="both"/>
        <w:rPr>
          <w:rFonts w:cstheme="minorHAnsi"/>
          <w:sz w:val="20"/>
          <w:szCs w:val="20"/>
        </w:rPr>
      </w:pPr>
      <w:r w:rsidRPr="00522D65">
        <w:rPr>
          <w:rFonts w:cstheme="minorHAnsi"/>
          <w:sz w:val="20"/>
          <w:szCs w:val="20"/>
        </w:rPr>
        <w:t>a) Notas de desglose;</w:t>
      </w:r>
    </w:p>
    <w:p w:rsidR="000F1626" w:rsidRPr="00522D65" w:rsidRDefault="000F1626" w:rsidP="00AA1395">
      <w:pPr>
        <w:jc w:val="both"/>
        <w:rPr>
          <w:rFonts w:cstheme="minorHAnsi"/>
          <w:sz w:val="20"/>
          <w:szCs w:val="20"/>
        </w:rPr>
      </w:pPr>
      <w:r w:rsidRPr="00522D65">
        <w:rPr>
          <w:rFonts w:cstheme="minorHAnsi"/>
          <w:sz w:val="20"/>
          <w:szCs w:val="20"/>
        </w:rPr>
        <w:t>b) Notas de memoria (cuentas de orden), y</w:t>
      </w:r>
    </w:p>
    <w:p w:rsidR="000F1626" w:rsidRPr="00522D65" w:rsidRDefault="000F1626" w:rsidP="00AA1395">
      <w:pPr>
        <w:jc w:val="both"/>
        <w:rPr>
          <w:rFonts w:eastAsia="Calibri" w:cstheme="minorHAnsi"/>
          <w:b/>
          <w:sz w:val="20"/>
          <w:szCs w:val="20"/>
        </w:rPr>
      </w:pPr>
      <w:r w:rsidRPr="00522D65">
        <w:rPr>
          <w:rFonts w:cstheme="minorHAnsi"/>
          <w:sz w:val="20"/>
          <w:szCs w:val="20"/>
        </w:rPr>
        <w:t>c) Notas de gestión administrativa.</w:t>
      </w:r>
      <w:r w:rsidRPr="00522D65">
        <w:rPr>
          <w:rFonts w:eastAsia="Calibri" w:cstheme="minorHAnsi"/>
          <w:b/>
          <w:sz w:val="20"/>
          <w:szCs w:val="20"/>
        </w:rPr>
        <w:cr/>
      </w:r>
    </w:p>
    <w:p w:rsidR="000F1626" w:rsidRPr="00522D65" w:rsidRDefault="00C2788C" w:rsidP="000F1626">
      <w:pPr>
        <w:jc w:val="center"/>
        <w:rPr>
          <w:rFonts w:eastAsia="Calibri" w:cstheme="minorHAnsi"/>
          <w:b/>
          <w:sz w:val="20"/>
          <w:szCs w:val="20"/>
        </w:rPr>
      </w:pPr>
      <w:r w:rsidRPr="00522D65">
        <w:rPr>
          <w:rFonts w:eastAsia="Calibri" w:cstheme="minorHAnsi"/>
          <w:b/>
          <w:sz w:val="20"/>
          <w:szCs w:val="20"/>
        </w:rPr>
        <w:t>A</w:t>
      </w:r>
      <w:r w:rsidR="000F1626" w:rsidRPr="00522D65">
        <w:rPr>
          <w:rFonts w:eastAsia="Calibri" w:cstheme="minorHAnsi"/>
          <w:b/>
          <w:sz w:val="20"/>
          <w:szCs w:val="20"/>
        </w:rPr>
        <w:t>) NOTAS DE DESGLOSE</w:t>
      </w:r>
    </w:p>
    <w:p w:rsidR="000F1626" w:rsidRPr="00522D65" w:rsidRDefault="00C2788C" w:rsidP="000F1626">
      <w:pPr>
        <w:jc w:val="both"/>
        <w:rPr>
          <w:rFonts w:eastAsia="Calibri" w:cstheme="minorHAnsi"/>
          <w:b/>
          <w:sz w:val="20"/>
          <w:szCs w:val="20"/>
        </w:rPr>
      </w:pPr>
      <w:r w:rsidRPr="00522D65">
        <w:rPr>
          <w:rFonts w:eastAsia="Calibri" w:cstheme="minorHAnsi"/>
          <w:b/>
          <w:sz w:val="20"/>
          <w:szCs w:val="20"/>
        </w:rPr>
        <w:t>1</w:t>
      </w:r>
      <w:r w:rsidR="000F1626" w:rsidRPr="00522D65">
        <w:rPr>
          <w:rFonts w:eastAsia="Calibri" w:cstheme="minorHAnsi"/>
          <w:b/>
          <w:sz w:val="20"/>
          <w:szCs w:val="20"/>
        </w:rPr>
        <w:t>) NOTAS AL ESTADO DE SITUACIÓN FINANCIERA</w:t>
      </w:r>
    </w:p>
    <w:p w:rsidR="000F1626" w:rsidRPr="00522D65" w:rsidRDefault="003D09ED" w:rsidP="000F1626">
      <w:pPr>
        <w:jc w:val="both"/>
        <w:rPr>
          <w:rFonts w:eastAsia="Calibri" w:cstheme="minorHAnsi"/>
          <w:b/>
          <w:sz w:val="20"/>
          <w:szCs w:val="20"/>
        </w:rPr>
      </w:pPr>
      <w:r w:rsidRPr="00522D65">
        <w:rPr>
          <w:rFonts w:eastAsia="Calibri" w:cstheme="minorHAnsi"/>
          <w:b/>
          <w:sz w:val="20"/>
          <w:szCs w:val="20"/>
        </w:rPr>
        <w:t>1.</w:t>
      </w:r>
      <w:r w:rsidR="00C2788C" w:rsidRPr="00522D65">
        <w:rPr>
          <w:rFonts w:eastAsia="Calibri" w:cstheme="minorHAnsi"/>
          <w:b/>
          <w:sz w:val="20"/>
          <w:szCs w:val="20"/>
        </w:rPr>
        <w:t>1</w:t>
      </w:r>
      <w:r w:rsidRPr="00522D65">
        <w:rPr>
          <w:rFonts w:eastAsia="Calibri" w:cstheme="minorHAnsi"/>
          <w:b/>
          <w:sz w:val="20"/>
          <w:szCs w:val="20"/>
        </w:rPr>
        <w:t xml:space="preserve"> </w:t>
      </w:r>
      <w:r w:rsidR="000F1626" w:rsidRPr="00522D65">
        <w:rPr>
          <w:rFonts w:eastAsia="Calibri" w:cstheme="minorHAnsi"/>
          <w:b/>
          <w:sz w:val="20"/>
          <w:szCs w:val="20"/>
        </w:rPr>
        <w:t>Activo</w:t>
      </w:r>
    </w:p>
    <w:p w:rsidR="000F1626" w:rsidRPr="00522D65" w:rsidRDefault="00C2788C" w:rsidP="000F1626">
      <w:pPr>
        <w:jc w:val="both"/>
        <w:rPr>
          <w:rFonts w:eastAsia="Calibri" w:cstheme="minorHAnsi"/>
          <w:b/>
          <w:sz w:val="20"/>
          <w:szCs w:val="20"/>
        </w:rPr>
      </w:pPr>
      <w:r w:rsidRPr="00522D65">
        <w:rPr>
          <w:rFonts w:eastAsia="Calibri" w:cstheme="minorHAnsi"/>
          <w:b/>
          <w:sz w:val="20"/>
          <w:szCs w:val="20"/>
        </w:rPr>
        <w:t>1.1.1</w:t>
      </w:r>
      <w:r w:rsidR="003D09ED" w:rsidRPr="00522D65">
        <w:rPr>
          <w:rFonts w:eastAsia="Calibri" w:cstheme="minorHAnsi"/>
          <w:b/>
          <w:sz w:val="20"/>
          <w:szCs w:val="20"/>
        </w:rPr>
        <w:t xml:space="preserve"> </w:t>
      </w:r>
      <w:r w:rsidR="000F1626" w:rsidRPr="00522D65">
        <w:rPr>
          <w:rFonts w:eastAsia="Calibri" w:cstheme="minorHAnsi"/>
          <w:b/>
          <w:sz w:val="20"/>
          <w:szCs w:val="20"/>
        </w:rPr>
        <w:t>Efectivo y Equivalentes</w:t>
      </w:r>
      <w:r w:rsidR="000C5C7E" w:rsidRPr="00522D65">
        <w:rPr>
          <w:rFonts w:eastAsia="Calibri" w:cstheme="minorHAnsi"/>
          <w:b/>
          <w:sz w:val="20"/>
          <w:szCs w:val="20"/>
        </w:rPr>
        <w:t>.</w:t>
      </w:r>
    </w:p>
    <w:p w:rsidR="003D09ED" w:rsidRDefault="003D09ED" w:rsidP="003D09ED">
      <w:pPr>
        <w:pStyle w:val="Prrafodelista"/>
        <w:tabs>
          <w:tab w:val="left" w:pos="426"/>
        </w:tabs>
        <w:ind w:left="0"/>
        <w:jc w:val="both"/>
        <w:rPr>
          <w:rFonts w:cstheme="minorHAnsi"/>
          <w:sz w:val="20"/>
          <w:szCs w:val="20"/>
        </w:rPr>
      </w:pPr>
      <w:r w:rsidRPr="00522D65">
        <w:rPr>
          <w:rFonts w:cstheme="minorHAnsi"/>
          <w:sz w:val="20"/>
          <w:szCs w:val="20"/>
        </w:rPr>
        <w:t xml:space="preserve">El rubro de Efectivo y Equivalente al </w:t>
      </w:r>
      <w:r w:rsidR="00FA30AA">
        <w:rPr>
          <w:rFonts w:cstheme="minorHAnsi"/>
          <w:sz w:val="20"/>
          <w:szCs w:val="20"/>
        </w:rPr>
        <w:t>30 de junio</w:t>
      </w:r>
      <w:r w:rsidR="00BA7AD3">
        <w:rPr>
          <w:rFonts w:cstheme="minorHAnsi"/>
          <w:sz w:val="20"/>
          <w:szCs w:val="20"/>
        </w:rPr>
        <w:t xml:space="preserve"> </w:t>
      </w:r>
      <w:r w:rsidR="0043309D">
        <w:rPr>
          <w:rFonts w:cstheme="minorHAnsi"/>
          <w:sz w:val="20"/>
          <w:szCs w:val="20"/>
        </w:rPr>
        <w:t>de 2021</w:t>
      </w:r>
      <w:r w:rsidRPr="00522D65">
        <w:rPr>
          <w:rFonts w:cstheme="minorHAnsi"/>
          <w:sz w:val="20"/>
          <w:szCs w:val="20"/>
        </w:rPr>
        <w:t>, se encuentra integrado de la siguiente manera:</w:t>
      </w:r>
    </w:p>
    <w:p w:rsidR="00A30E16" w:rsidRDefault="00A30E16" w:rsidP="00AB3097">
      <w:pPr>
        <w:pStyle w:val="Prrafodelista"/>
        <w:tabs>
          <w:tab w:val="left" w:pos="426"/>
        </w:tabs>
        <w:ind w:left="0"/>
        <w:jc w:val="center"/>
        <w:rPr>
          <w:rFonts w:cstheme="minorHAnsi"/>
          <w:sz w:val="20"/>
          <w:szCs w:val="20"/>
        </w:rPr>
      </w:pPr>
    </w:p>
    <w:p w:rsidR="00710F9E" w:rsidRDefault="00FA30AA" w:rsidP="006C6130">
      <w:pPr>
        <w:pStyle w:val="Prrafodelista"/>
        <w:tabs>
          <w:tab w:val="left" w:pos="426"/>
        </w:tabs>
        <w:ind w:left="0"/>
        <w:jc w:val="center"/>
        <w:rPr>
          <w:rFonts w:cstheme="minorHAnsi"/>
          <w:sz w:val="20"/>
          <w:szCs w:val="20"/>
        </w:rPr>
      </w:pPr>
      <w:r w:rsidRPr="00FA30AA">
        <w:drawing>
          <wp:inline distT="0" distB="0" distL="0" distR="0">
            <wp:extent cx="3781425" cy="8667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866775"/>
                    </a:xfrm>
                    <a:prstGeom prst="rect">
                      <a:avLst/>
                    </a:prstGeom>
                    <a:noFill/>
                    <a:ln>
                      <a:noFill/>
                    </a:ln>
                  </pic:spPr>
                </pic:pic>
              </a:graphicData>
            </a:graphic>
          </wp:inline>
        </w:drawing>
      </w: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55C0A">
      <w:pPr>
        <w:pStyle w:val="Prrafodelista"/>
        <w:tabs>
          <w:tab w:val="left" w:pos="426"/>
        </w:tabs>
        <w:ind w:left="0"/>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Default="006C6130" w:rsidP="006C6130">
      <w:pPr>
        <w:pStyle w:val="Prrafodelista"/>
        <w:tabs>
          <w:tab w:val="left" w:pos="426"/>
        </w:tabs>
        <w:ind w:left="0"/>
        <w:jc w:val="center"/>
        <w:rPr>
          <w:rFonts w:cstheme="minorHAnsi"/>
          <w:sz w:val="20"/>
          <w:szCs w:val="20"/>
        </w:rPr>
      </w:pPr>
    </w:p>
    <w:p w:rsidR="006C6130" w:rsidRPr="006C6130" w:rsidRDefault="006C6130" w:rsidP="006C6130">
      <w:pPr>
        <w:pStyle w:val="Prrafodelista"/>
        <w:tabs>
          <w:tab w:val="left" w:pos="426"/>
        </w:tabs>
        <w:ind w:left="0"/>
        <w:jc w:val="center"/>
        <w:rPr>
          <w:rFonts w:cstheme="minorHAnsi"/>
          <w:sz w:val="20"/>
          <w:szCs w:val="20"/>
        </w:rPr>
      </w:pPr>
    </w:p>
    <w:p w:rsidR="0091677F" w:rsidRDefault="00C2788C" w:rsidP="00C2788C">
      <w:pPr>
        <w:tabs>
          <w:tab w:val="left" w:pos="426"/>
        </w:tabs>
        <w:rPr>
          <w:rFonts w:cstheme="minorHAnsi"/>
          <w:b/>
          <w:sz w:val="20"/>
          <w:szCs w:val="20"/>
        </w:rPr>
      </w:pPr>
      <w:r w:rsidRPr="00522D65">
        <w:rPr>
          <w:rFonts w:cstheme="minorHAnsi"/>
          <w:b/>
          <w:sz w:val="20"/>
          <w:szCs w:val="20"/>
        </w:rPr>
        <w:lastRenderedPageBreak/>
        <w:t xml:space="preserve">1.1.1.2 </w:t>
      </w:r>
      <w:r w:rsidR="00D762FA" w:rsidRPr="00522D65">
        <w:rPr>
          <w:rFonts w:cstheme="minorHAnsi"/>
          <w:b/>
          <w:sz w:val="20"/>
          <w:szCs w:val="20"/>
        </w:rPr>
        <w:t>La cuenta de Bancos se integra de la siguiente forma:</w:t>
      </w:r>
    </w:p>
    <w:p w:rsidR="00572306" w:rsidRPr="00522D65" w:rsidRDefault="00FA30AA" w:rsidP="00710F9E">
      <w:pPr>
        <w:tabs>
          <w:tab w:val="left" w:pos="426"/>
        </w:tabs>
        <w:jc w:val="center"/>
        <w:rPr>
          <w:rFonts w:cstheme="minorHAnsi"/>
          <w:b/>
          <w:sz w:val="20"/>
          <w:szCs w:val="20"/>
        </w:rPr>
      </w:pPr>
      <w:r w:rsidRPr="00FA30AA">
        <w:drawing>
          <wp:inline distT="0" distB="0" distL="0" distR="0">
            <wp:extent cx="3781425" cy="25146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2514600"/>
                    </a:xfrm>
                    <a:prstGeom prst="rect">
                      <a:avLst/>
                    </a:prstGeom>
                    <a:noFill/>
                    <a:ln>
                      <a:noFill/>
                    </a:ln>
                  </pic:spPr>
                </pic:pic>
              </a:graphicData>
            </a:graphic>
          </wp:inline>
        </w:drawing>
      </w:r>
    </w:p>
    <w:p w:rsidR="00572306" w:rsidRPr="00522D65" w:rsidRDefault="00572306" w:rsidP="002819BC">
      <w:pPr>
        <w:pStyle w:val="Prrafodelista"/>
        <w:numPr>
          <w:ilvl w:val="0"/>
          <w:numId w:val="4"/>
        </w:numPr>
        <w:tabs>
          <w:tab w:val="left" w:pos="426"/>
        </w:tabs>
        <w:jc w:val="both"/>
        <w:rPr>
          <w:rFonts w:cstheme="minorHAnsi"/>
          <w:sz w:val="20"/>
          <w:szCs w:val="20"/>
        </w:rPr>
      </w:pPr>
      <w:r w:rsidRPr="00522D65">
        <w:rPr>
          <w:rFonts w:cstheme="minorHAnsi"/>
          <w:sz w:val="20"/>
          <w:szCs w:val="20"/>
        </w:rPr>
        <w:t>La cuenta Santander 1917-1 (Subsidi</w:t>
      </w:r>
      <w:r w:rsidR="007A074D">
        <w:rPr>
          <w:rFonts w:cstheme="minorHAnsi"/>
          <w:sz w:val="20"/>
          <w:szCs w:val="20"/>
        </w:rPr>
        <w:t xml:space="preserve">o </w:t>
      </w:r>
      <w:r w:rsidR="006C6130">
        <w:rPr>
          <w:rFonts w:cstheme="minorHAnsi"/>
          <w:sz w:val="20"/>
          <w:szCs w:val="20"/>
        </w:rPr>
        <w:t xml:space="preserve">del </w:t>
      </w:r>
      <w:r w:rsidR="00AC76B2">
        <w:rPr>
          <w:rFonts w:cstheme="minorHAnsi"/>
          <w:sz w:val="20"/>
          <w:szCs w:val="20"/>
        </w:rPr>
        <w:t xml:space="preserve">Gobierno del Estado), se ha destinado </w:t>
      </w:r>
      <w:r w:rsidR="006C6130">
        <w:rPr>
          <w:rFonts w:cstheme="minorHAnsi"/>
          <w:sz w:val="20"/>
          <w:szCs w:val="20"/>
        </w:rPr>
        <w:t>par</w:t>
      </w:r>
      <w:r w:rsidR="00AC76B2">
        <w:rPr>
          <w:rFonts w:cstheme="minorHAnsi"/>
          <w:sz w:val="20"/>
          <w:szCs w:val="20"/>
        </w:rPr>
        <w:t xml:space="preserve">a recibir recursos </w:t>
      </w:r>
      <w:r w:rsidRPr="00522D65">
        <w:rPr>
          <w:rFonts w:cstheme="minorHAnsi"/>
          <w:sz w:val="20"/>
          <w:szCs w:val="20"/>
        </w:rPr>
        <w:t>del Gobierno del Estad</w:t>
      </w:r>
      <w:r w:rsidR="00C95AAF">
        <w:rPr>
          <w:rFonts w:cstheme="minorHAnsi"/>
          <w:sz w:val="20"/>
          <w:szCs w:val="20"/>
        </w:rPr>
        <w:t>o de Yuc</w:t>
      </w:r>
      <w:r w:rsidR="006C6130">
        <w:rPr>
          <w:rFonts w:cstheme="minorHAnsi"/>
          <w:sz w:val="20"/>
          <w:szCs w:val="20"/>
        </w:rPr>
        <w:t>atán</w:t>
      </w:r>
      <w:r w:rsidR="00AC76B2">
        <w:rPr>
          <w:rFonts w:cstheme="minorHAnsi"/>
          <w:sz w:val="20"/>
          <w:szCs w:val="20"/>
        </w:rPr>
        <w:t xml:space="preserve"> como subsidios y préstamos</w:t>
      </w:r>
      <w:r w:rsidRPr="00522D65">
        <w:rPr>
          <w:rFonts w:cstheme="minorHAnsi"/>
          <w:sz w:val="20"/>
          <w:szCs w:val="20"/>
        </w:rPr>
        <w:t>.</w:t>
      </w:r>
    </w:p>
    <w:p w:rsidR="00572306" w:rsidRPr="00522D65" w:rsidRDefault="00572306" w:rsidP="002819BC">
      <w:pPr>
        <w:pStyle w:val="Prrafodelista"/>
        <w:numPr>
          <w:ilvl w:val="0"/>
          <w:numId w:val="4"/>
        </w:numPr>
        <w:tabs>
          <w:tab w:val="left" w:pos="426"/>
        </w:tabs>
        <w:jc w:val="both"/>
        <w:rPr>
          <w:rFonts w:cstheme="minorHAnsi"/>
          <w:sz w:val="20"/>
          <w:szCs w:val="20"/>
        </w:rPr>
      </w:pPr>
      <w:r w:rsidRPr="00522D65">
        <w:rPr>
          <w:rFonts w:cstheme="minorHAnsi"/>
          <w:sz w:val="20"/>
          <w:szCs w:val="20"/>
        </w:rPr>
        <w:t>La cuenta Santander 1797-2 (Subsidio del 50</w:t>
      </w:r>
      <w:r w:rsidR="0043309D">
        <w:rPr>
          <w:rFonts w:cstheme="minorHAnsi"/>
          <w:sz w:val="20"/>
          <w:szCs w:val="20"/>
        </w:rPr>
        <w:t xml:space="preserve">% del ISH), acumulará </w:t>
      </w:r>
      <w:r w:rsidRPr="00522D65">
        <w:rPr>
          <w:rFonts w:cstheme="minorHAnsi"/>
          <w:sz w:val="20"/>
          <w:szCs w:val="20"/>
        </w:rPr>
        <w:t>la recaudación que realice la Agencia de Administración Fiscal del Estado de Yucatán del Impuesto sobre Hospedaje (ISH). El efectivo disponible en esta cuenta está destinado a la promoción y publicidad del Estado de Yucatán a través de Fideicomiso Público para el Desarrollo del Turismo de Reuniones en Yucatán.</w:t>
      </w:r>
    </w:p>
    <w:p w:rsidR="00572306" w:rsidRPr="00522D65" w:rsidRDefault="00572306" w:rsidP="002819BC">
      <w:pPr>
        <w:pStyle w:val="Prrafodelista"/>
        <w:numPr>
          <w:ilvl w:val="0"/>
          <w:numId w:val="4"/>
        </w:numPr>
        <w:tabs>
          <w:tab w:val="left" w:pos="426"/>
        </w:tabs>
        <w:jc w:val="both"/>
        <w:rPr>
          <w:rFonts w:cstheme="minorHAnsi"/>
          <w:sz w:val="20"/>
          <w:szCs w:val="20"/>
        </w:rPr>
      </w:pPr>
      <w:r w:rsidRPr="00522D65">
        <w:rPr>
          <w:rFonts w:cstheme="minorHAnsi"/>
          <w:sz w:val="20"/>
          <w:szCs w:val="20"/>
        </w:rPr>
        <w:t>La cuenta 1752-3 (Ingresos)</w:t>
      </w:r>
      <w:r w:rsidR="001C20C6" w:rsidRPr="00522D65">
        <w:rPr>
          <w:rFonts w:cstheme="minorHAnsi"/>
          <w:sz w:val="20"/>
          <w:szCs w:val="20"/>
        </w:rPr>
        <w:t>, tiene como fin recaudar los ingresos derivados de la comercialización de los espacios y servicios del recinto, Centro Internacional de Congresos de Yucatán, el cual opera el Fideicomiso Público para el Desarrollo del Turismo de Reuniones en Yucatán.</w:t>
      </w:r>
    </w:p>
    <w:p w:rsidR="001C20C6" w:rsidRDefault="001C20C6" w:rsidP="002819BC">
      <w:pPr>
        <w:pStyle w:val="Prrafodelista"/>
        <w:numPr>
          <w:ilvl w:val="0"/>
          <w:numId w:val="4"/>
        </w:numPr>
        <w:tabs>
          <w:tab w:val="left" w:pos="426"/>
        </w:tabs>
        <w:jc w:val="both"/>
        <w:rPr>
          <w:rFonts w:cstheme="minorHAnsi"/>
          <w:sz w:val="20"/>
          <w:szCs w:val="20"/>
        </w:rPr>
      </w:pPr>
      <w:r w:rsidRPr="00522D65">
        <w:rPr>
          <w:rFonts w:cstheme="minorHAnsi"/>
          <w:sz w:val="20"/>
          <w:szCs w:val="20"/>
        </w:rPr>
        <w:t>La cuenta Santander 1888-4 (Otros Ingresos), acumula todos aquellos otros ingresos que el Fideicomiso pueda recau</w:t>
      </w:r>
      <w:r w:rsidR="00711265" w:rsidRPr="00522D65">
        <w:rPr>
          <w:rFonts w:cstheme="minorHAnsi"/>
          <w:sz w:val="20"/>
          <w:szCs w:val="20"/>
        </w:rPr>
        <w:t>dar, diferentes a los de comercialización de espacios y servicios del Centro Internacional de Congresos de Yucatán</w:t>
      </w:r>
      <w:r w:rsidR="00425313" w:rsidRPr="00522D65">
        <w:rPr>
          <w:rFonts w:cstheme="minorHAnsi"/>
          <w:sz w:val="20"/>
          <w:szCs w:val="20"/>
        </w:rPr>
        <w:t>.</w:t>
      </w:r>
    </w:p>
    <w:p w:rsidR="00185891" w:rsidRDefault="00185891" w:rsidP="002819BC">
      <w:pPr>
        <w:pStyle w:val="Prrafodelista"/>
        <w:numPr>
          <w:ilvl w:val="0"/>
          <w:numId w:val="4"/>
        </w:numPr>
        <w:tabs>
          <w:tab w:val="left" w:pos="426"/>
        </w:tabs>
        <w:jc w:val="both"/>
        <w:rPr>
          <w:rFonts w:cstheme="minorHAnsi"/>
          <w:sz w:val="20"/>
          <w:szCs w:val="20"/>
        </w:rPr>
      </w:pPr>
      <w:r>
        <w:rPr>
          <w:rFonts w:cstheme="minorHAnsi"/>
          <w:sz w:val="20"/>
          <w:szCs w:val="20"/>
        </w:rPr>
        <w:t>L</w:t>
      </w:r>
      <w:r w:rsidR="0043309D">
        <w:rPr>
          <w:rFonts w:cstheme="minorHAnsi"/>
          <w:sz w:val="20"/>
          <w:szCs w:val="20"/>
        </w:rPr>
        <w:t>a cuenta Santander 8866</w:t>
      </w:r>
      <w:r>
        <w:rPr>
          <w:rFonts w:cstheme="minorHAnsi"/>
          <w:sz w:val="20"/>
          <w:szCs w:val="20"/>
        </w:rPr>
        <w:t xml:space="preserve"> tiene como fin</w:t>
      </w:r>
      <w:r w:rsidR="00AC1887">
        <w:rPr>
          <w:rFonts w:cstheme="minorHAnsi"/>
          <w:sz w:val="20"/>
          <w:szCs w:val="20"/>
        </w:rPr>
        <w:t xml:space="preserve"> principal el pago</w:t>
      </w:r>
      <w:r>
        <w:rPr>
          <w:rFonts w:cstheme="minorHAnsi"/>
          <w:sz w:val="20"/>
          <w:szCs w:val="20"/>
        </w:rPr>
        <w:t xml:space="preserve"> de nómina e impuestos relacionados. El subsidi</w:t>
      </w:r>
      <w:r w:rsidR="00AC1887">
        <w:rPr>
          <w:rFonts w:cstheme="minorHAnsi"/>
          <w:sz w:val="20"/>
          <w:szCs w:val="20"/>
        </w:rPr>
        <w:t>o que se recibe en la cuenta 1917-1 es canalizado por esta cuenta para el cumplimiento de las obligaciones descritas anteriormente</w:t>
      </w:r>
      <w:r>
        <w:rPr>
          <w:rFonts w:cstheme="minorHAnsi"/>
          <w:sz w:val="20"/>
          <w:szCs w:val="20"/>
        </w:rPr>
        <w:t>.</w:t>
      </w:r>
    </w:p>
    <w:p w:rsidR="00185891" w:rsidRDefault="00185891" w:rsidP="002819BC">
      <w:pPr>
        <w:pStyle w:val="Prrafodelista"/>
        <w:numPr>
          <w:ilvl w:val="0"/>
          <w:numId w:val="4"/>
        </w:numPr>
        <w:tabs>
          <w:tab w:val="left" w:pos="426"/>
        </w:tabs>
        <w:jc w:val="both"/>
        <w:rPr>
          <w:rFonts w:cstheme="minorHAnsi"/>
          <w:sz w:val="20"/>
          <w:szCs w:val="20"/>
        </w:rPr>
      </w:pPr>
      <w:r>
        <w:rPr>
          <w:rFonts w:cstheme="minorHAnsi"/>
          <w:sz w:val="20"/>
          <w:szCs w:val="20"/>
        </w:rPr>
        <w:t>La cuenta Santander 1104 (Promoción y Publicidad) está destinada al pago de servicios de promoción publicidad qu</w:t>
      </w:r>
      <w:r w:rsidR="0043309D">
        <w:rPr>
          <w:rFonts w:cstheme="minorHAnsi"/>
          <w:sz w:val="20"/>
          <w:szCs w:val="20"/>
        </w:rPr>
        <w:t>e provienen del subsidio</w:t>
      </w:r>
      <w:r>
        <w:rPr>
          <w:rFonts w:cstheme="minorHAnsi"/>
          <w:sz w:val="20"/>
          <w:szCs w:val="20"/>
        </w:rPr>
        <w:t xml:space="preserve"> de ISH que se acumula en la cuenta 1797-2.</w:t>
      </w:r>
    </w:p>
    <w:p w:rsidR="00185891" w:rsidRDefault="00185891" w:rsidP="002819BC">
      <w:pPr>
        <w:pStyle w:val="Prrafodelista"/>
        <w:numPr>
          <w:ilvl w:val="0"/>
          <w:numId w:val="4"/>
        </w:numPr>
        <w:tabs>
          <w:tab w:val="left" w:pos="426"/>
        </w:tabs>
        <w:jc w:val="both"/>
        <w:rPr>
          <w:rFonts w:cstheme="minorHAnsi"/>
          <w:sz w:val="20"/>
          <w:szCs w:val="20"/>
        </w:rPr>
      </w:pPr>
      <w:r>
        <w:rPr>
          <w:rFonts w:cstheme="minorHAnsi"/>
          <w:sz w:val="20"/>
          <w:szCs w:val="20"/>
        </w:rPr>
        <w:t>La cuenta Santander 4658 tiene como fin recibir todos los depósitos que realicen los clientes derivados de la venta</w:t>
      </w:r>
      <w:r w:rsidRPr="00522D65">
        <w:rPr>
          <w:rFonts w:cstheme="minorHAnsi"/>
          <w:sz w:val="20"/>
          <w:szCs w:val="20"/>
        </w:rPr>
        <w:t xml:space="preserve"> de los espacios y servicios del recinto, Centro Internacional de Congresos de Yucatán, el cual opera el Fideicomiso Público para el Desarrollo del Turismo de Reuniones en Yucatán.</w:t>
      </w:r>
      <w:r>
        <w:rPr>
          <w:rFonts w:cstheme="minorHAnsi"/>
          <w:sz w:val="20"/>
          <w:szCs w:val="20"/>
        </w:rPr>
        <w:t xml:space="preserve"> Estos ingresos serán enviados a la cuenta 1752-3 para ser invertidos de manera temporal.</w:t>
      </w:r>
    </w:p>
    <w:p w:rsidR="00710F9E" w:rsidRPr="00A30E16" w:rsidRDefault="00185891" w:rsidP="00A30E16">
      <w:pPr>
        <w:pStyle w:val="Prrafodelista"/>
        <w:numPr>
          <w:ilvl w:val="0"/>
          <w:numId w:val="4"/>
        </w:numPr>
        <w:tabs>
          <w:tab w:val="left" w:pos="426"/>
        </w:tabs>
        <w:jc w:val="both"/>
        <w:rPr>
          <w:rFonts w:cstheme="minorHAnsi"/>
          <w:sz w:val="20"/>
          <w:szCs w:val="20"/>
        </w:rPr>
      </w:pPr>
      <w:r>
        <w:rPr>
          <w:rFonts w:cstheme="minorHAnsi"/>
          <w:sz w:val="20"/>
          <w:szCs w:val="20"/>
        </w:rPr>
        <w:t xml:space="preserve">La cuenta 8897 (Otros Ingresos) acumular </w:t>
      </w:r>
      <w:r w:rsidRPr="00522D65">
        <w:rPr>
          <w:rFonts w:cstheme="minorHAnsi"/>
          <w:sz w:val="20"/>
          <w:szCs w:val="20"/>
        </w:rPr>
        <w:t>todos aquellos otros ingresos que el Fideicomiso pueda recaudar, diferentes a los de comercialización de espacios y servicios del Centro Internacional de Congresos de Yucatán</w:t>
      </w:r>
      <w:r>
        <w:rPr>
          <w:rFonts w:cstheme="minorHAnsi"/>
          <w:sz w:val="20"/>
          <w:szCs w:val="20"/>
        </w:rPr>
        <w:t>. Estos ingresos serán enviados a la cuenta 1888-4 para ser invertidos de manera temporal.</w:t>
      </w:r>
    </w:p>
    <w:p w:rsidR="00710F9E" w:rsidRPr="00710F9E" w:rsidRDefault="00710F9E" w:rsidP="00710F9E">
      <w:pPr>
        <w:tabs>
          <w:tab w:val="left" w:pos="426"/>
        </w:tabs>
        <w:jc w:val="both"/>
        <w:rPr>
          <w:rFonts w:cstheme="minorHAnsi"/>
          <w:sz w:val="20"/>
          <w:szCs w:val="20"/>
        </w:rPr>
      </w:pPr>
    </w:p>
    <w:p w:rsidR="002F7F9D" w:rsidRPr="00A70F72" w:rsidRDefault="00A70F72" w:rsidP="00A70F72">
      <w:pPr>
        <w:tabs>
          <w:tab w:val="left" w:pos="426"/>
        </w:tabs>
        <w:rPr>
          <w:rFonts w:cstheme="minorHAnsi"/>
          <w:b/>
          <w:sz w:val="20"/>
          <w:szCs w:val="20"/>
        </w:rPr>
      </w:pPr>
      <w:r>
        <w:rPr>
          <w:rFonts w:cstheme="minorHAnsi"/>
          <w:b/>
          <w:sz w:val="20"/>
          <w:szCs w:val="20"/>
        </w:rPr>
        <w:lastRenderedPageBreak/>
        <w:t>1.1.1.3</w:t>
      </w:r>
      <w:r w:rsidRPr="00A70F72">
        <w:rPr>
          <w:rFonts w:cstheme="minorHAnsi"/>
          <w:b/>
          <w:sz w:val="20"/>
          <w:szCs w:val="20"/>
        </w:rPr>
        <w:t xml:space="preserve"> </w:t>
      </w:r>
      <w:r>
        <w:rPr>
          <w:rFonts w:cstheme="minorHAnsi"/>
          <w:b/>
          <w:sz w:val="20"/>
          <w:szCs w:val="20"/>
        </w:rPr>
        <w:t>La cuenta de Otros Efectivos y Equivalentes, se refiere a los depósitos pendientes de recibir por parte de American Express al utilizar sus servicios financieros de Terminal Punto de Venta para el cobro de servicios a clientes.</w:t>
      </w:r>
    </w:p>
    <w:p w:rsidR="000F1626" w:rsidRPr="00522D65" w:rsidRDefault="00C2788C" w:rsidP="000F1626">
      <w:pPr>
        <w:jc w:val="both"/>
        <w:rPr>
          <w:rFonts w:eastAsia="Calibri" w:cstheme="minorHAnsi"/>
          <w:b/>
          <w:sz w:val="20"/>
          <w:szCs w:val="20"/>
        </w:rPr>
      </w:pPr>
      <w:r w:rsidRPr="00522D65">
        <w:rPr>
          <w:rFonts w:eastAsia="Calibri" w:cstheme="minorHAnsi"/>
          <w:b/>
          <w:sz w:val="20"/>
          <w:szCs w:val="20"/>
        </w:rPr>
        <w:t>1.1.2</w:t>
      </w:r>
      <w:r w:rsidR="001C20C6" w:rsidRPr="00522D65">
        <w:rPr>
          <w:rFonts w:eastAsia="Calibri" w:cstheme="minorHAnsi"/>
          <w:b/>
          <w:sz w:val="20"/>
          <w:szCs w:val="20"/>
        </w:rPr>
        <w:t xml:space="preserve">. </w:t>
      </w:r>
      <w:r w:rsidR="000F1626" w:rsidRPr="00522D65">
        <w:rPr>
          <w:rFonts w:eastAsia="Calibri" w:cstheme="minorHAnsi"/>
          <w:b/>
          <w:sz w:val="20"/>
          <w:szCs w:val="20"/>
        </w:rPr>
        <w:t>Derechos a recibir Efectivo y Equivalentes y Bienes o Servicios a Recibir</w:t>
      </w:r>
      <w:r w:rsidR="000C5C7E" w:rsidRPr="00522D65">
        <w:rPr>
          <w:rFonts w:eastAsia="Calibri" w:cstheme="minorHAnsi"/>
          <w:b/>
          <w:sz w:val="20"/>
          <w:szCs w:val="20"/>
        </w:rPr>
        <w:t>.</w:t>
      </w:r>
    </w:p>
    <w:p w:rsidR="00B24F7C" w:rsidRDefault="00B24F7C" w:rsidP="001C20C6">
      <w:pPr>
        <w:jc w:val="both"/>
        <w:rPr>
          <w:rFonts w:eastAsia="Calibri" w:cstheme="minorHAnsi"/>
          <w:sz w:val="20"/>
          <w:szCs w:val="20"/>
        </w:rPr>
      </w:pPr>
      <w:r w:rsidRPr="001C25FA">
        <w:rPr>
          <w:rFonts w:eastAsia="Calibri" w:cstheme="minorHAnsi"/>
          <w:b/>
          <w:sz w:val="20"/>
          <w:szCs w:val="20"/>
        </w:rPr>
        <w:t>1.1.2.1</w:t>
      </w:r>
      <w:r w:rsidRPr="001C25FA">
        <w:rPr>
          <w:rFonts w:eastAsia="Calibri" w:cstheme="minorHAnsi"/>
          <w:sz w:val="20"/>
          <w:szCs w:val="20"/>
        </w:rPr>
        <w:t xml:space="preserve"> Los derechos a recibir efectivo y equivalentes se componen de la siguiente forma.</w:t>
      </w:r>
    </w:p>
    <w:p w:rsidR="005A4710" w:rsidRDefault="00FA30AA" w:rsidP="005A4710">
      <w:pPr>
        <w:jc w:val="center"/>
        <w:rPr>
          <w:rFonts w:eastAsia="Calibri" w:cstheme="minorHAnsi"/>
          <w:b/>
          <w:sz w:val="20"/>
          <w:szCs w:val="20"/>
        </w:rPr>
      </w:pPr>
      <w:r w:rsidRPr="00FA30AA">
        <w:drawing>
          <wp:inline distT="0" distB="0" distL="0" distR="0" wp14:anchorId="072752BB" wp14:editId="0A9D897B">
            <wp:extent cx="4810125" cy="7143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714375"/>
                    </a:xfrm>
                    <a:prstGeom prst="rect">
                      <a:avLst/>
                    </a:prstGeom>
                    <a:noFill/>
                    <a:ln>
                      <a:noFill/>
                    </a:ln>
                  </pic:spPr>
                </pic:pic>
              </a:graphicData>
            </a:graphic>
          </wp:inline>
        </w:drawing>
      </w:r>
    </w:p>
    <w:p w:rsidR="00710F9E" w:rsidRDefault="00710F9E" w:rsidP="005361D9">
      <w:pPr>
        <w:rPr>
          <w:rFonts w:eastAsia="Calibri" w:cstheme="minorHAnsi"/>
          <w:b/>
          <w:sz w:val="20"/>
          <w:szCs w:val="20"/>
        </w:rPr>
      </w:pPr>
    </w:p>
    <w:p w:rsidR="002F7F9D" w:rsidRDefault="00185891" w:rsidP="005361D9">
      <w:r>
        <w:rPr>
          <w:rFonts w:eastAsia="Calibri" w:cstheme="minorHAnsi"/>
          <w:b/>
          <w:sz w:val="20"/>
          <w:szCs w:val="20"/>
        </w:rPr>
        <w:t>1.1.2.1.1</w:t>
      </w:r>
      <w:r w:rsidR="00FA30AA">
        <w:rPr>
          <w:rFonts w:eastAsia="Calibri" w:cstheme="minorHAnsi"/>
          <w:sz w:val="20"/>
          <w:szCs w:val="20"/>
        </w:rPr>
        <w:t xml:space="preserve"> Al 30 de junio</w:t>
      </w:r>
      <w:r w:rsidR="005E1E5B">
        <w:rPr>
          <w:rFonts w:eastAsia="Calibri" w:cstheme="minorHAnsi"/>
          <w:sz w:val="20"/>
          <w:szCs w:val="20"/>
        </w:rPr>
        <w:t xml:space="preserve"> </w:t>
      </w:r>
      <w:r w:rsidR="0043309D">
        <w:rPr>
          <w:rFonts w:eastAsia="Calibri" w:cstheme="minorHAnsi"/>
          <w:sz w:val="20"/>
          <w:szCs w:val="20"/>
        </w:rPr>
        <w:t>de 2021</w:t>
      </w:r>
      <w:r w:rsidR="0098438F">
        <w:rPr>
          <w:rFonts w:eastAsia="Calibri" w:cstheme="minorHAnsi"/>
          <w:sz w:val="20"/>
          <w:szCs w:val="20"/>
        </w:rPr>
        <w:t>, las</w:t>
      </w:r>
      <w:r w:rsidR="005361D9">
        <w:rPr>
          <w:rFonts w:eastAsia="Calibri" w:cstheme="minorHAnsi"/>
          <w:sz w:val="20"/>
          <w:szCs w:val="20"/>
        </w:rPr>
        <w:t xml:space="preserve"> </w:t>
      </w:r>
      <w:r>
        <w:rPr>
          <w:rFonts w:eastAsia="Calibri" w:cstheme="minorHAnsi"/>
          <w:sz w:val="20"/>
          <w:szCs w:val="20"/>
        </w:rPr>
        <w:t>Cu</w:t>
      </w:r>
      <w:r w:rsidR="005361D9">
        <w:rPr>
          <w:rFonts w:eastAsia="Calibri" w:cstheme="minorHAnsi"/>
          <w:sz w:val="20"/>
          <w:szCs w:val="20"/>
        </w:rPr>
        <w:t>entas por Cobrar a Corto Plazo</w:t>
      </w:r>
      <w:r w:rsidR="0098438F">
        <w:rPr>
          <w:rFonts w:eastAsia="Calibri" w:cstheme="minorHAnsi"/>
          <w:sz w:val="20"/>
          <w:szCs w:val="20"/>
        </w:rPr>
        <w:t xml:space="preserve"> se componen de la siguiente manera:</w:t>
      </w:r>
      <w:r w:rsidR="00D97567" w:rsidRPr="00D97567">
        <w:t xml:space="preserve"> </w:t>
      </w:r>
    </w:p>
    <w:p w:rsidR="00A25D65" w:rsidRDefault="00FA30AA" w:rsidP="00693310">
      <w:pPr>
        <w:jc w:val="both"/>
        <w:rPr>
          <w:rFonts w:eastAsia="Calibri" w:cstheme="minorHAnsi"/>
          <w:sz w:val="20"/>
          <w:szCs w:val="20"/>
        </w:rPr>
      </w:pPr>
      <w:r w:rsidRPr="00FA30AA">
        <w:drawing>
          <wp:inline distT="0" distB="0" distL="0" distR="0">
            <wp:extent cx="5612130" cy="6359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35935"/>
                    </a:xfrm>
                    <a:prstGeom prst="rect">
                      <a:avLst/>
                    </a:prstGeom>
                    <a:noFill/>
                    <a:ln>
                      <a:noFill/>
                    </a:ln>
                  </pic:spPr>
                </pic:pic>
              </a:graphicData>
            </a:graphic>
          </wp:inline>
        </w:drawing>
      </w:r>
    </w:p>
    <w:p w:rsidR="00693310" w:rsidRDefault="00693310" w:rsidP="00693310">
      <w:pPr>
        <w:jc w:val="both"/>
        <w:rPr>
          <w:rFonts w:eastAsia="Calibri" w:cstheme="minorHAnsi"/>
          <w:sz w:val="20"/>
          <w:szCs w:val="20"/>
        </w:rPr>
      </w:pPr>
      <w:r>
        <w:rPr>
          <w:rFonts w:eastAsia="Calibri" w:cstheme="minorHAnsi"/>
          <w:sz w:val="20"/>
          <w:szCs w:val="20"/>
        </w:rPr>
        <w:t>El detalle anterior</w:t>
      </w:r>
      <w:r w:rsidR="00655C0A">
        <w:rPr>
          <w:rFonts w:eastAsia="Calibri" w:cstheme="minorHAnsi"/>
          <w:sz w:val="20"/>
          <w:szCs w:val="20"/>
        </w:rPr>
        <w:t xml:space="preserve"> con antigüedad mayor a 365 días</w:t>
      </w:r>
      <w:r>
        <w:rPr>
          <w:rFonts w:eastAsia="Calibri" w:cstheme="minorHAnsi"/>
          <w:sz w:val="20"/>
          <w:szCs w:val="20"/>
        </w:rPr>
        <w:t>, se encuentra provisionado en la estimación para cuentas incobrables por derechos a recibir efectivo, debido a la antigüedad de saldos presentado.</w:t>
      </w:r>
    </w:p>
    <w:p w:rsidR="00575D7F" w:rsidRPr="0071784D" w:rsidRDefault="00575D7F" w:rsidP="001C33C0">
      <w:pPr>
        <w:jc w:val="center"/>
        <w:rPr>
          <w:rFonts w:eastAsia="Calibri" w:cstheme="minorHAnsi"/>
          <w:sz w:val="20"/>
          <w:szCs w:val="20"/>
        </w:rPr>
      </w:pPr>
    </w:p>
    <w:p w:rsidR="00185891" w:rsidRDefault="00185891" w:rsidP="00185891">
      <w:pPr>
        <w:rPr>
          <w:rFonts w:eastAsia="Calibri" w:cstheme="minorHAnsi"/>
          <w:b/>
          <w:sz w:val="20"/>
          <w:szCs w:val="20"/>
        </w:rPr>
      </w:pPr>
      <w:r w:rsidRPr="00185891">
        <w:rPr>
          <w:rFonts w:eastAsia="Calibri" w:cstheme="minorHAnsi"/>
          <w:b/>
          <w:sz w:val="20"/>
          <w:szCs w:val="20"/>
        </w:rPr>
        <w:t>1.1.2.1.2</w:t>
      </w:r>
      <w:r w:rsidRPr="009140C6">
        <w:rPr>
          <w:rFonts w:eastAsia="Calibri" w:cstheme="minorHAnsi"/>
          <w:sz w:val="20"/>
          <w:szCs w:val="20"/>
        </w:rPr>
        <w:t xml:space="preserve"> La cuenta de Deudores Diversos se encuentra conformada de la siguiente forma:</w:t>
      </w:r>
    </w:p>
    <w:p w:rsidR="00185891" w:rsidRDefault="00FA30AA" w:rsidP="00185891">
      <w:pPr>
        <w:jc w:val="center"/>
        <w:rPr>
          <w:rFonts w:eastAsia="Calibri" w:cstheme="minorHAnsi"/>
          <w:b/>
          <w:sz w:val="20"/>
          <w:szCs w:val="20"/>
        </w:rPr>
      </w:pPr>
      <w:r w:rsidRPr="00FA30AA">
        <w:drawing>
          <wp:inline distT="0" distB="0" distL="0" distR="0">
            <wp:extent cx="5612130" cy="65713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57133"/>
                    </a:xfrm>
                    <a:prstGeom prst="rect">
                      <a:avLst/>
                    </a:prstGeom>
                    <a:noFill/>
                    <a:ln>
                      <a:noFill/>
                    </a:ln>
                  </pic:spPr>
                </pic:pic>
              </a:graphicData>
            </a:graphic>
          </wp:inline>
        </w:drawing>
      </w:r>
    </w:p>
    <w:p w:rsidR="006518C2" w:rsidRDefault="006518C2" w:rsidP="006518C2">
      <w:pPr>
        <w:rPr>
          <w:rFonts w:eastAsia="Calibri" w:cstheme="minorHAnsi"/>
          <w:sz w:val="20"/>
          <w:szCs w:val="20"/>
        </w:rPr>
      </w:pPr>
      <w:r w:rsidRPr="006518C2">
        <w:rPr>
          <w:rFonts w:eastAsia="Calibri" w:cstheme="minorHAnsi"/>
          <w:sz w:val="20"/>
          <w:szCs w:val="20"/>
        </w:rPr>
        <w:t xml:space="preserve">Los deudores diversos corresponden a </w:t>
      </w:r>
      <w:r w:rsidR="001672A7">
        <w:rPr>
          <w:rFonts w:eastAsia="Calibri" w:cstheme="minorHAnsi"/>
          <w:sz w:val="20"/>
          <w:szCs w:val="20"/>
        </w:rPr>
        <w:t>retenciones</w:t>
      </w:r>
      <w:r w:rsidR="00F744B4">
        <w:rPr>
          <w:rFonts w:eastAsia="Calibri" w:cstheme="minorHAnsi"/>
          <w:sz w:val="20"/>
          <w:szCs w:val="20"/>
        </w:rPr>
        <w:t xml:space="preserve"> de impuestos</w:t>
      </w:r>
      <w:r w:rsidR="001672A7">
        <w:rPr>
          <w:rFonts w:eastAsia="Calibri" w:cstheme="minorHAnsi"/>
          <w:sz w:val="20"/>
          <w:szCs w:val="20"/>
        </w:rPr>
        <w:t xml:space="preserve"> pendientes de realizar</w:t>
      </w:r>
      <w:r w:rsidR="00F744B4">
        <w:rPr>
          <w:rFonts w:eastAsia="Calibri" w:cstheme="minorHAnsi"/>
          <w:sz w:val="20"/>
          <w:szCs w:val="20"/>
        </w:rPr>
        <w:t xml:space="preserve"> a los trabajadores del FIDETURE</w:t>
      </w:r>
      <w:r w:rsidR="00A33EE2">
        <w:rPr>
          <w:rFonts w:eastAsia="Calibri" w:cstheme="minorHAnsi"/>
          <w:sz w:val="20"/>
          <w:szCs w:val="20"/>
        </w:rPr>
        <w:t xml:space="preserve">, </w:t>
      </w:r>
      <w:r w:rsidR="00FA30AA">
        <w:rPr>
          <w:rFonts w:eastAsia="Calibri" w:cstheme="minorHAnsi"/>
          <w:sz w:val="20"/>
          <w:szCs w:val="20"/>
        </w:rPr>
        <w:t xml:space="preserve">así como los gastos </w:t>
      </w:r>
      <w:r w:rsidR="00A33EE2">
        <w:rPr>
          <w:rFonts w:eastAsia="Calibri" w:cstheme="minorHAnsi"/>
          <w:sz w:val="20"/>
          <w:szCs w:val="20"/>
        </w:rPr>
        <w:t>pendientes de comprobar por parte de los empleados del FIDETURE, de acuerdo a las comisiones y asignaciones propias de sus posiciones laborales.</w:t>
      </w:r>
    </w:p>
    <w:p w:rsidR="006453D6" w:rsidRDefault="00FA30AA" w:rsidP="00185891">
      <w:pPr>
        <w:rPr>
          <w:rFonts w:eastAsia="Calibri" w:cstheme="minorHAnsi"/>
          <w:sz w:val="20"/>
          <w:szCs w:val="20"/>
        </w:rPr>
      </w:pPr>
      <w:r>
        <w:rPr>
          <w:rFonts w:eastAsia="Calibri" w:cstheme="minorHAnsi"/>
          <w:sz w:val="20"/>
          <w:szCs w:val="20"/>
        </w:rPr>
        <w:t>De igual forma, la cuenta acumula el Impuesto sobre Hospedaje pendiente de transferir por parte de la Secretaría de Administración y Finanzas hacia el FIDETURE y una devolución pendiente de recibir por una publicación de licitación cancelada.</w:t>
      </w:r>
    </w:p>
    <w:p w:rsidR="00FA30AA" w:rsidRPr="00FA30AA" w:rsidRDefault="00FA30AA" w:rsidP="00185891">
      <w:pPr>
        <w:rPr>
          <w:rFonts w:eastAsia="Calibri" w:cstheme="minorHAnsi"/>
          <w:sz w:val="20"/>
          <w:szCs w:val="20"/>
        </w:rPr>
      </w:pPr>
    </w:p>
    <w:p w:rsidR="00185891" w:rsidRDefault="00185891" w:rsidP="00185891">
      <w:pPr>
        <w:rPr>
          <w:rFonts w:eastAsia="Calibri" w:cstheme="minorHAnsi"/>
          <w:b/>
          <w:sz w:val="20"/>
          <w:szCs w:val="20"/>
        </w:rPr>
      </w:pPr>
      <w:r>
        <w:rPr>
          <w:rFonts w:eastAsia="Calibri" w:cstheme="minorHAnsi"/>
          <w:b/>
          <w:sz w:val="20"/>
          <w:szCs w:val="20"/>
        </w:rPr>
        <w:t xml:space="preserve">1.1.2.1.3 </w:t>
      </w:r>
      <w:r w:rsidRPr="009140C6">
        <w:rPr>
          <w:rFonts w:eastAsia="Calibri" w:cstheme="minorHAnsi"/>
          <w:sz w:val="20"/>
          <w:szCs w:val="20"/>
        </w:rPr>
        <w:t xml:space="preserve">La </w:t>
      </w:r>
      <w:r w:rsidR="009140C6" w:rsidRPr="009140C6">
        <w:rPr>
          <w:rFonts w:eastAsia="Calibri" w:cstheme="minorHAnsi"/>
          <w:sz w:val="20"/>
          <w:szCs w:val="20"/>
        </w:rPr>
        <w:t xml:space="preserve">cuenta de Otros </w:t>
      </w:r>
      <w:r w:rsidR="009140C6" w:rsidRPr="001C25FA">
        <w:rPr>
          <w:rFonts w:eastAsia="Calibri" w:cstheme="minorHAnsi"/>
          <w:sz w:val="20"/>
          <w:szCs w:val="20"/>
        </w:rPr>
        <w:t>Derechos a Recibir Efectivo o Equivalentes se compone</w:t>
      </w:r>
      <w:r w:rsidRPr="001C25FA">
        <w:rPr>
          <w:rFonts w:eastAsia="Calibri" w:cstheme="minorHAnsi"/>
          <w:sz w:val="20"/>
          <w:szCs w:val="20"/>
        </w:rPr>
        <w:t xml:space="preserve"> de la siguiente forma</w:t>
      </w:r>
      <w:r w:rsidRPr="001C25FA">
        <w:rPr>
          <w:rFonts w:eastAsia="Calibri" w:cstheme="minorHAnsi"/>
          <w:b/>
          <w:sz w:val="20"/>
          <w:szCs w:val="20"/>
        </w:rPr>
        <w:t>:</w:t>
      </w:r>
    </w:p>
    <w:p w:rsidR="00C30507" w:rsidRDefault="004E6F8E" w:rsidP="00E47366">
      <w:pPr>
        <w:jc w:val="center"/>
        <w:rPr>
          <w:rFonts w:eastAsia="Calibri" w:cstheme="minorHAnsi"/>
          <w:sz w:val="20"/>
          <w:szCs w:val="20"/>
        </w:rPr>
      </w:pPr>
      <w:r w:rsidRPr="004E6F8E">
        <w:drawing>
          <wp:inline distT="0" distB="0" distL="0" distR="0">
            <wp:extent cx="5612130" cy="763122"/>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63122"/>
                    </a:xfrm>
                    <a:prstGeom prst="rect">
                      <a:avLst/>
                    </a:prstGeom>
                    <a:noFill/>
                    <a:ln>
                      <a:noFill/>
                    </a:ln>
                  </pic:spPr>
                </pic:pic>
              </a:graphicData>
            </a:graphic>
          </wp:inline>
        </w:drawing>
      </w:r>
    </w:p>
    <w:p w:rsidR="00693310" w:rsidRPr="006453D6" w:rsidRDefault="00693310" w:rsidP="00FD103B">
      <w:pPr>
        <w:rPr>
          <w:rFonts w:eastAsia="Calibri" w:cstheme="minorHAnsi"/>
          <w:sz w:val="20"/>
          <w:szCs w:val="20"/>
        </w:rPr>
      </w:pPr>
    </w:p>
    <w:p w:rsidR="00C33A7A" w:rsidRPr="00185891" w:rsidRDefault="00C33A7A" w:rsidP="00FD103B">
      <w:pPr>
        <w:rPr>
          <w:rFonts w:eastAsia="Calibri" w:cstheme="minorHAnsi"/>
          <w:b/>
          <w:sz w:val="20"/>
          <w:szCs w:val="20"/>
        </w:rPr>
      </w:pPr>
      <w:r>
        <w:rPr>
          <w:rFonts w:eastAsia="Calibri" w:cstheme="minorHAnsi"/>
          <w:b/>
          <w:sz w:val="20"/>
          <w:szCs w:val="20"/>
        </w:rPr>
        <w:t xml:space="preserve">1.1.3 </w:t>
      </w:r>
      <w:r w:rsidRPr="00C33A7A">
        <w:rPr>
          <w:rFonts w:eastAsia="Calibri" w:cstheme="minorHAnsi"/>
          <w:sz w:val="20"/>
          <w:szCs w:val="20"/>
        </w:rPr>
        <w:t>En la cuenta</w:t>
      </w:r>
      <w:r w:rsidR="006F2316">
        <w:rPr>
          <w:rFonts w:eastAsia="Calibri" w:cstheme="minorHAnsi"/>
          <w:sz w:val="20"/>
          <w:szCs w:val="20"/>
        </w:rPr>
        <w:t xml:space="preserve"> de</w:t>
      </w:r>
      <w:r w:rsidRPr="00C33A7A">
        <w:rPr>
          <w:rFonts w:eastAsia="Calibri" w:cstheme="minorHAnsi"/>
          <w:sz w:val="20"/>
          <w:szCs w:val="20"/>
        </w:rPr>
        <w:t xml:space="preserve"> </w:t>
      </w:r>
      <w:r w:rsidRPr="00C33A7A">
        <w:rPr>
          <w:rFonts w:eastAsia="Calibri" w:cstheme="minorHAnsi"/>
          <w:b/>
          <w:sz w:val="20"/>
          <w:szCs w:val="20"/>
        </w:rPr>
        <w:t>Otros Derechos a Recibir Bienes</w:t>
      </w:r>
      <w:r w:rsidR="00D77907">
        <w:rPr>
          <w:rFonts w:eastAsia="Calibri" w:cstheme="minorHAnsi"/>
          <w:b/>
          <w:sz w:val="20"/>
          <w:szCs w:val="20"/>
        </w:rPr>
        <w:t xml:space="preserve"> </w:t>
      </w:r>
      <w:r w:rsidR="00D77907" w:rsidRPr="00D77907">
        <w:rPr>
          <w:rFonts w:eastAsia="Calibri" w:cstheme="minorHAnsi"/>
          <w:sz w:val="20"/>
          <w:szCs w:val="20"/>
        </w:rPr>
        <w:t>no</w:t>
      </w:r>
      <w:r w:rsidRPr="00C33A7A">
        <w:rPr>
          <w:rFonts w:eastAsia="Calibri" w:cstheme="minorHAnsi"/>
          <w:sz w:val="20"/>
          <w:szCs w:val="20"/>
        </w:rPr>
        <w:t xml:space="preserve"> </w:t>
      </w:r>
      <w:r w:rsidR="005A4710">
        <w:rPr>
          <w:rFonts w:eastAsia="Calibri" w:cstheme="minorHAnsi"/>
          <w:sz w:val="20"/>
          <w:szCs w:val="20"/>
        </w:rPr>
        <w:t xml:space="preserve">existe </w:t>
      </w:r>
      <w:r w:rsidR="004E6F8E">
        <w:rPr>
          <w:rFonts w:eastAsia="Calibri" w:cstheme="minorHAnsi"/>
          <w:sz w:val="20"/>
          <w:szCs w:val="20"/>
        </w:rPr>
        <w:t>saldo al 30 de junio</w:t>
      </w:r>
      <w:r w:rsidR="008B2DB7">
        <w:rPr>
          <w:rFonts w:eastAsia="Calibri" w:cstheme="minorHAnsi"/>
          <w:sz w:val="20"/>
          <w:szCs w:val="20"/>
        </w:rPr>
        <w:t xml:space="preserve"> de 2021</w:t>
      </w:r>
      <w:r w:rsidR="00570709">
        <w:rPr>
          <w:rFonts w:eastAsia="Calibri" w:cstheme="minorHAnsi"/>
          <w:sz w:val="20"/>
          <w:szCs w:val="20"/>
        </w:rPr>
        <w:t>.</w:t>
      </w:r>
    </w:p>
    <w:p w:rsidR="004E6AF5" w:rsidRDefault="004E6AF5" w:rsidP="001C20C6">
      <w:pPr>
        <w:jc w:val="both"/>
        <w:rPr>
          <w:rFonts w:eastAsia="Calibri" w:cstheme="minorHAnsi"/>
          <w:b/>
          <w:sz w:val="20"/>
          <w:szCs w:val="20"/>
        </w:rPr>
      </w:pPr>
    </w:p>
    <w:p w:rsidR="000F1626" w:rsidRPr="00522D65" w:rsidRDefault="001C20C6" w:rsidP="001C20C6">
      <w:pPr>
        <w:jc w:val="both"/>
        <w:rPr>
          <w:rFonts w:eastAsia="Calibri" w:cstheme="minorHAnsi"/>
          <w:b/>
          <w:sz w:val="20"/>
          <w:szCs w:val="20"/>
        </w:rPr>
      </w:pPr>
      <w:r w:rsidRPr="00522D65">
        <w:rPr>
          <w:rFonts w:eastAsia="Calibri" w:cstheme="minorHAnsi"/>
          <w:b/>
          <w:sz w:val="20"/>
          <w:szCs w:val="20"/>
        </w:rPr>
        <w:t>1.</w:t>
      </w:r>
      <w:r w:rsidR="00C2788C" w:rsidRPr="00522D65">
        <w:rPr>
          <w:rFonts w:eastAsia="Calibri" w:cstheme="minorHAnsi"/>
          <w:b/>
          <w:sz w:val="20"/>
          <w:szCs w:val="20"/>
        </w:rPr>
        <w:t>1.</w:t>
      </w:r>
      <w:r w:rsidR="00C33A7A">
        <w:rPr>
          <w:rFonts w:eastAsia="Calibri" w:cstheme="minorHAnsi"/>
          <w:b/>
          <w:sz w:val="20"/>
          <w:szCs w:val="20"/>
        </w:rPr>
        <w:t>4</w:t>
      </w:r>
      <w:r w:rsidRPr="00522D65">
        <w:rPr>
          <w:rFonts w:eastAsia="Calibri" w:cstheme="minorHAnsi"/>
          <w:b/>
          <w:sz w:val="20"/>
          <w:szCs w:val="20"/>
        </w:rPr>
        <w:t>. B</w:t>
      </w:r>
      <w:r w:rsidR="000F1626" w:rsidRPr="00522D65">
        <w:rPr>
          <w:rFonts w:eastAsia="Calibri" w:cstheme="minorHAnsi"/>
          <w:b/>
          <w:sz w:val="20"/>
          <w:szCs w:val="20"/>
        </w:rPr>
        <w:t>ienes disponibles para su transformación aquél</w:t>
      </w:r>
      <w:r w:rsidRPr="00522D65">
        <w:rPr>
          <w:rFonts w:eastAsia="Calibri" w:cstheme="minorHAnsi"/>
          <w:b/>
          <w:sz w:val="20"/>
          <w:szCs w:val="20"/>
        </w:rPr>
        <w:t xml:space="preserve">los que se encuentren dentro de </w:t>
      </w:r>
      <w:r w:rsidR="000F1626" w:rsidRPr="00522D65">
        <w:rPr>
          <w:rFonts w:eastAsia="Calibri" w:cstheme="minorHAnsi"/>
          <w:b/>
          <w:sz w:val="20"/>
          <w:szCs w:val="20"/>
        </w:rPr>
        <w:t>la cuenta Inventarios</w:t>
      </w:r>
      <w:r w:rsidRPr="00522D65">
        <w:rPr>
          <w:rFonts w:eastAsia="Calibri" w:cstheme="minorHAnsi"/>
          <w:b/>
          <w:sz w:val="20"/>
          <w:szCs w:val="20"/>
        </w:rPr>
        <w:t>.</w:t>
      </w:r>
    </w:p>
    <w:p w:rsidR="00D54521" w:rsidRPr="007B4E53" w:rsidRDefault="009D452C" w:rsidP="000F1626">
      <w:pPr>
        <w:jc w:val="both"/>
        <w:rPr>
          <w:rFonts w:eastAsia="Calibri" w:cstheme="minorHAnsi"/>
          <w:sz w:val="20"/>
          <w:szCs w:val="20"/>
        </w:rPr>
      </w:pPr>
      <w:r>
        <w:rPr>
          <w:rFonts w:eastAsia="Calibri" w:cstheme="minorHAnsi"/>
          <w:sz w:val="20"/>
          <w:szCs w:val="20"/>
        </w:rPr>
        <w:t>No aplica, ya que e</w:t>
      </w:r>
      <w:r w:rsidR="001C20C6" w:rsidRPr="00522D65">
        <w:rPr>
          <w:rFonts w:eastAsia="Calibri" w:cstheme="minorHAnsi"/>
          <w:sz w:val="20"/>
          <w:szCs w:val="20"/>
        </w:rPr>
        <w:t>l Fideicomiso Público para el Desarrollo del Turismo de Reuniones en Yucatán</w:t>
      </w:r>
      <w:r w:rsidR="00425313" w:rsidRPr="00522D65">
        <w:rPr>
          <w:rFonts w:eastAsia="Calibri" w:cstheme="minorHAnsi"/>
          <w:sz w:val="20"/>
          <w:szCs w:val="20"/>
        </w:rPr>
        <w:t xml:space="preserve"> no realiza actividades de transformación de bienes</w:t>
      </w:r>
      <w:r>
        <w:rPr>
          <w:rFonts w:eastAsia="Calibri" w:cstheme="minorHAnsi"/>
          <w:sz w:val="20"/>
          <w:szCs w:val="20"/>
        </w:rPr>
        <w:t xml:space="preserve"> por lo que tampoco cuenta con un sistema de costeo, almacén y valuación de inventarios</w:t>
      </w:r>
      <w:r w:rsidR="00425313" w:rsidRPr="00522D65">
        <w:rPr>
          <w:rFonts w:eastAsia="Calibri" w:cstheme="minorHAnsi"/>
          <w:sz w:val="20"/>
          <w:szCs w:val="20"/>
        </w:rPr>
        <w:t>, ya que</w:t>
      </w:r>
      <w:r w:rsidR="001C20C6" w:rsidRPr="00522D65">
        <w:rPr>
          <w:rFonts w:eastAsia="Calibri" w:cstheme="minorHAnsi"/>
          <w:sz w:val="20"/>
          <w:szCs w:val="20"/>
        </w:rPr>
        <w:t xml:space="preserve"> </w:t>
      </w:r>
      <w:r w:rsidR="00425313" w:rsidRPr="00522D65">
        <w:rPr>
          <w:rFonts w:eastAsia="Calibri" w:cstheme="minorHAnsi"/>
          <w:sz w:val="20"/>
          <w:szCs w:val="20"/>
        </w:rPr>
        <w:t>tiene por objeto la conducción y promoción de la política pública en materia de turismo de reuniones en el estado, así como la administración, operación y comercialización de los recintos, y de sus servicios conexos, con los que cuente para el desarrollo de esta.</w:t>
      </w:r>
    </w:p>
    <w:p w:rsidR="004E6F8E" w:rsidRDefault="004E6F8E" w:rsidP="000F1626">
      <w:pPr>
        <w:jc w:val="both"/>
        <w:rPr>
          <w:rFonts w:eastAsia="Calibri" w:cstheme="minorHAnsi"/>
          <w:b/>
          <w:sz w:val="20"/>
          <w:szCs w:val="20"/>
        </w:rPr>
      </w:pPr>
    </w:p>
    <w:p w:rsidR="000F1626" w:rsidRDefault="00425313" w:rsidP="000F1626">
      <w:pPr>
        <w:jc w:val="both"/>
        <w:rPr>
          <w:rFonts w:eastAsia="Calibri" w:cstheme="minorHAnsi"/>
          <w:b/>
          <w:sz w:val="20"/>
          <w:szCs w:val="20"/>
        </w:rPr>
      </w:pPr>
      <w:r w:rsidRPr="00522D65">
        <w:rPr>
          <w:rFonts w:eastAsia="Calibri" w:cstheme="minorHAnsi"/>
          <w:b/>
          <w:sz w:val="20"/>
          <w:szCs w:val="20"/>
        </w:rPr>
        <w:t>1.</w:t>
      </w:r>
      <w:r w:rsidR="00C2788C" w:rsidRPr="00522D65">
        <w:rPr>
          <w:rFonts w:eastAsia="Calibri" w:cstheme="minorHAnsi"/>
          <w:b/>
          <w:sz w:val="20"/>
          <w:szCs w:val="20"/>
        </w:rPr>
        <w:t>1.</w:t>
      </w:r>
      <w:r w:rsidR="00C33A7A">
        <w:rPr>
          <w:rFonts w:eastAsia="Calibri" w:cstheme="minorHAnsi"/>
          <w:b/>
          <w:sz w:val="20"/>
          <w:szCs w:val="20"/>
        </w:rPr>
        <w:t>5</w:t>
      </w:r>
      <w:r w:rsidRPr="00522D65">
        <w:rPr>
          <w:rFonts w:eastAsia="Calibri" w:cstheme="minorHAnsi"/>
          <w:b/>
          <w:sz w:val="20"/>
          <w:szCs w:val="20"/>
        </w:rPr>
        <w:t xml:space="preserve"> </w:t>
      </w:r>
      <w:r w:rsidR="000F1626" w:rsidRPr="00522D65">
        <w:rPr>
          <w:rFonts w:eastAsia="Calibri" w:cstheme="minorHAnsi"/>
          <w:b/>
          <w:sz w:val="20"/>
          <w:szCs w:val="20"/>
        </w:rPr>
        <w:t>Inversiones Financieras</w:t>
      </w:r>
    </w:p>
    <w:p w:rsidR="00D85CF5" w:rsidRPr="00D85CF5" w:rsidRDefault="004E6F8E" w:rsidP="00D85CF5">
      <w:pPr>
        <w:tabs>
          <w:tab w:val="left" w:pos="426"/>
        </w:tabs>
        <w:jc w:val="both"/>
        <w:rPr>
          <w:rFonts w:cstheme="minorHAnsi"/>
          <w:sz w:val="20"/>
          <w:szCs w:val="20"/>
        </w:rPr>
      </w:pPr>
      <w:r>
        <w:rPr>
          <w:rFonts w:cstheme="minorHAnsi"/>
          <w:sz w:val="20"/>
          <w:szCs w:val="20"/>
        </w:rPr>
        <w:t>Al 30 de junio</w:t>
      </w:r>
      <w:r w:rsidR="00F9562D">
        <w:rPr>
          <w:rFonts w:cstheme="minorHAnsi"/>
          <w:sz w:val="20"/>
          <w:szCs w:val="20"/>
        </w:rPr>
        <w:t xml:space="preserve"> de 2021</w:t>
      </w:r>
      <w:r w:rsidR="00D85CF5">
        <w:rPr>
          <w:rFonts w:cstheme="minorHAnsi"/>
          <w:sz w:val="20"/>
          <w:szCs w:val="20"/>
        </w:rPr>
        <w:t xml:space="preserve"> se informa que las únicas inversiones financieras con las que cuenta el Fideicomiso son temporales, las cuales se desglosan a continuación.</w:t>
      </w:r>
    </w:p>
    <w:p w:rsidR="00D7672A" w:rsidRDefault="00D7672A" w:rsidP="000C5C7E">
      <w:pPr>
        <w:pStyle w:val="Prrafodelista"/>
        <w:tabs>
          <w:tab w:val="left" w:pos="0"/>
          <w:tab w:val="left" w:pos="284"/>
        </w:tabs>
        <w:ind w:left="0"/>
        <w:jc w:val="both"/>
        <w:rPr>
          <w:rFonts w:cstheme="minorHAnsi"/>
          <w:b/>
          <w:sz w:val="20"/>
          <w:szCs w:val="20"/>
        </w:rPr>
      </w:pPr>
    </w:p>
    <w:p w:rsidR="000C5C7E" w:rsidRPr="00522D65" w:rsidRDefault="000C5C7E" w:rsidP="000C5C7E">
      <w:pPr>
        <w:pStyle w:val="Prrafodelista"/>
        <w:tabs>
          <w:tab w:val="left" w:pos="0"/>
          <w:tab w:val="left" w:pos="284"/>
        </w:tabs>
        <w:ind w:left="0"/>
        <w:jc w:val="both"/>
        <w:rPr>
          <w:rFonts w:cstheme="minorHAnsi"/>
          <w:b/>
          <w:sz w:val="20"/>
          <w:szCs w:val="20"/>
        </w:rPr>
      </w:pPr>
      <w:r w:rsidRPr="00522D65">
        <w:rPr>
          <w:rFonts w:cstheme="minorHAnsi"/>
          <w:b/>
          <w:sz w:val="20"/>
          <w:szCs w:val="20"/>
        </w:rPr>
        <w:t>1.</w:t>
      </w:r>
      <w:r w:rsidR="00C33A7A">
        <w:rPr>
          <w:rFonts w:cstheme="minorHAnsi"/>
          <w:b/>
          <w:sz w:val="20"/>
          <w:szCs w:val="20"/>
        </w:rPr>
        <w:t>1.5</w:t>
      </w:r>
      <w:r w:rsidR="00C2788C" w:rsidRPr="00522D65">
        <w:rPr>
          <w:rFonts w:cstheme="minorHAnsi"/>
          <w:b/>
          <w:sz w:val="20"/>
          <w:szCs w:val="20"/>
        </w:rPr>
        <w:t>.1</w:t>
      </w:r>
      <w:r w:rsidRPr="00522D65">
        <w:rPr>
          <w:rFonts w:cstheme="minorHAnsi"/>
          <w:b/>
          <w:sz w:val="20"/>
          <w:szCs w:val="20"/>
        </w:rPr>
        <w:t xml:space="preserve"> Inversiones Temporales (hasta tres meses).</w:t>
      </w:r>
    </w:p>
    <w:p w:rsidR="00185891" w:rsidRDefault="00D365F6" w:rsidP="000F1626">
      <w:pPr>
        <w:jc w:val="both"/>
        <w:rPr>
          <w:rFonts w:eastAsia="Calibri" w:cstheme="minorHAnsi"/>
          <w:sz w:val="20"/>
          <w:szCs w:val="20"/>
        </w:rPr>
      </w:pPr>
      <w:r>
        <w:rPr>
          <w:rFonts w:eastAsia="Calibri" w:cstheme="minorHAnsi"/>
          <w:sz w:val="20"/>
          <w:szCs w:val="20"/>
        </w:rPr>
        <w:t>L</w:t>
      </w:r>
      <w:r w:rsidR="0024209F">
        <w:rPr>
          <w:rFonts w:eastAsia="Calibri" w:cstheme="minorHAnsi"/>
          <w:sz w:val="20"/>
          <w:szCs w:val="20"/>
        </w:rPr>
        <w:t>as inversiones temporales del Fideicomiso se conforman de la siguiente manera</w:t>
      </w:r>
      <w:r w:rsidR="00185891" w:rsidRPr="00185891">
        <w:rPr>
          <w:rFonts w:eastAsia="Calibri" w:cstheme="minorHAnsi"/>
          <w:sz w:val="20"/>
          <w:szCs w:val="20"/>
        </w:rPr>
        <w:t>.</w:t>
      </w:r>
    </w:p>
    <w:p w:rsidR="00D7672A" w:rsidRDefault="004E6F8E" w:rsidP="00D7672A">
      <w:pPr>
        <w:jc w:val="center"/>
        <w:rPr>
          <w:rFonts w:eastAsia="Calibri" w:cstheme="minorHAnsi"/>
          <w:sz w:val="20"/>
          <w:szCs w:val="20"/>
        </w:rPr>
      </w:pPr>
      <w:r w:rsidRPr="004E6F8E">
        <w:drawing>
          <wp:inline distT="0" distB="0" distL="0" distR="0">
            <wp:extent cx="4810125" cy="10001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1000125"/>
                    </a:xfrm>
                    <a:prstGeom prst="rect">
                      <a:avLst/>
                    </a:prstGeom>
                    <a:noFill/>
                    <a:ln>
                      <a:noFill/>
                    </a:ln>
                  </pic:spPr>
                </pic:pic>
              </a:graphicData>
            </a:graphic>
          </wp:inline>
        </w:drawing>
      </w:r>
    </w:p>
    <w:p w:rsidR="002032D1" w:rsidRPr="00522D65" w:rsidRDefault="002032D1" w:rsidP="002032D1">
      <w:pPr>
        <w:pStyle w:val="Prrafodelista"/>
        <w:numPr>
          <w:ilvl w:val="0"/>
          <w:numId w:val="4"/>
        </w:numPr>
        <w:tabs>
          <w:tab w:val="left" w:pos="426"/>
        </w:tabs>
        <w:jc w:val="both"/>
        <w:rPr>
          <w:rFonts w:cstheme="minorHAnsi"/>
          <w:sz w:val="20"/>
          <w:szCs w:val="20"/>
        </w:rPr>
      </w:pPr>
      <w:r>
        <w:rPr>
          <w:rFonts w:cstheme="minorHAnsi"/>
          <w:sz w:val="20"/>
          <w:szCs w:val="20"/>
        </w:rPr>
        <w:t>En la cuenta de Títulos</w:t>
      </w:r>
      <w:r w:rsidRPr="00522D65">
        <w:rPr>
          <w:rFonts w:cstheme="minorHAnsi"/>
          <w:sz w:val="20"/>
          <w:szCs w:val="20"/>
        </w:rPr>
        <w:t xml:space="preserve"> </w:t>
      </w:r>
      <w:r>
        <w:rPr>
          <w:rFonts w:cstheme="minorHAnsi"/>
          <w:sz w:val="20"/>
          <w:szCs w:val="20"/>
        </w:rPr>
        <w:t>Santander 1917-1, se invierten las aportaciones que realiza</w:t>
      </w:r>
      <w:r w:rsidR="00E73A90">
        <w:rPr>
          <w:rFonts w:cstheme="minorHAnsi"/>
          <w:sz w:val="20"/>
          <w:szCs w:val="20"/>
        </w:rPr>
        <w:t>ba</w:t>
      </w:r>
      <w:r>
        <w:rPr>
          <w:rFonts w:cstheme="minorHAnsi"/>
          <w:sz w:val="20"/>
          <w:szCs w:val="20"/>
        </w:rPr>
        <w:t xml:space="preserve"> el Gobierno del Estado de Yucatán para cubrir las partidas del capítulo 1000. </w:t>
      </w:r>
    </w:p>
    <w:p w:rsidR="002032D1" w:rsidRPr="00522D65" w:rsidRDefault="002032D1" w:rsidP="005A7D30">
      <w:pPr>
        <w:pStyle w:val="Prrafodelista"/>
        <w:numPr>
          <w:ilvl w:val="0"/>
          <w:numId w:val="4"/>
        </w:numPr>
        <w:tabs>
          <w:tab w:val="left" w:pos="426"/>
        </w:tabs>
        <w:jc w:val="both"/>
        <w:rPr>
          <w:rFonts w:cstheme="minorHAnsi"/>
          <w:sz w:val="20"/>
          <w:szCs w:val="20"/>
        </w:rPr>
      </w:pPr>
      <w:r>
        <w:rPr>
          <w:rFonts w:cstheme="minorHAnsi"/>
          <w:sz w:val="20"/>
          <w:szCs w:val="20"/>
        </w:rPr>
        <w:t>En la cuenta de Títulos</w:t>
      </w:r>
      <w:r w:rsidRPr="00522D65">
        <w:rPr>
          <w:rFonts w:cstheme="minorHAnsi"/>
          <w:sz w:val="20"/>
          <w:szCs w:val="20"/>
        </w:rPr>
        <w:t xml:space="preserve"> Santander 1797</w:t>
      </w:r>
      <w:r>
        <w:rPr>
          <w:rFonts w:cstheme="minorHAnsi"/>
          <w:sz w:val="20"/>
          <w:szCs w:val="20"/>
        </w:rPr>
        <w:t>-2</w:t>
      </w:r>
      <w:r w:rsidR="005A7D30">
        <w:rPr>
          <w:rFonts w:cstheme="minorHAnsi"/>
          <w:sz w:val="20"/>
          <w:szCs w:val="20"/>
        </w:rPr>
        <w:t xml:space="preserve"> y </w:t>
      </w:r>
      <w:r w:rsidR="005A7D30" w:rsidRPr="005A7D30">
        <w:rPr>
          <w:rFonts w:cstheme="minorHAnsi"/>
          <w:sz w:val="20"/>
          <w:szCs w:val="20"/>
        </w:rPr>
        <w:t>Pagar</w:t>
      </w:r>
      <w:r w:rsidR="005A7D30">
        <w:rPr>
          <w:rFonts w:cstheme="minorHAnsi"/>
          <w:sz w:val="20"/>
          <w:szCs w:val="20"/>
        </w:rPr>
        <w:t xml:space="preserve">és Santander </w:t>
      </w:r>
      <w:proofErr w:type="spellStart"/>
      <w:r w:rsidR="005A7D30">
        <w:rPr>
          <w:rFonts w:cstheme="minorHAnsi"/>
          <w:sz w:val="20"/>
          <w:szCs w:val="20"/>
        </w:rPr>
        <w:t>Cta</w:t>
      </w:r>
      <w:proofErr w:type="spellEnd"/>
      <w:r w:rsidR="005A7D30">
        <w:rPr>
          <w:rFonts w:cstheme="minorHAnsi"/>
          <w:sz w:val="20"/>
          <w:szCs w:val="20"/>
        </w:rPr>
        <w:t xml:space="preserve"> 1797 - 2</w:t>
      </w:r>
      <w:r>
        <w:rPr>
          <w:rFonts w:cstheme="minorHAnsi"/>
          <w:sz w:val="20"/>
          <w:szCs w:val="20"/>
        </w:rPr>
        <w:t>, se invierte</w:t>
      </w:r>
      <w:r w:rsidR="003410CE">
        <w:rPr>
          <w:rFonts w:cstheme="minorHAnsi"/>
          <w:sz w:val="20"/>
          <w:szCs w:val="20"/>
        </w:rPr>
        <w:t xml:space="preserve"> </w:t>
      </w:r>
      <w:r>
        <w:rPr>
          <w:rFonts w:cstheme="minorHAnsi"/>
          <w:sz w:val="20"/>
          <w:szCs w:val="20"/>
        </w:rPr>
        <w:t xml:space="preserve">la recaudación que </w:t>
      </w:r>
      <w:r w:rsidRPr="00522D65">
        <w:rPr>
          <w:rFonts w:cstheme="minorHAnsi"/>
          <w:sz w:val="20"/>
          <w:szCs w:val="20"/>
        </w:rPr>
        <w:t>la Agencia de Administración Fiscal del Estado de Yucatán</w:t>
      </w:r>
      <w:r>
        <w:rPr>
          <w:rFonts w:cstheme="minorHAnsi"/>
          <w:sz w:val="20"/>
          <w:szCs w:val="20"/>
        </w:rPr>
        <w:t xml:space="preserve"> realiza</w:t>
      </w:r>
      <w:r w:rsidRPr="00522D65">
        <w:rPr>
          <w:rFonts w:cstheme="minorHAnsi"/>
          <w:sz w:val="20"/>
          <w:szCs w:val="20"/>
        </w:rPr>
        <w:t xml:space="preserve"> del Impuesto sobre Hospedaje (ISH)</w:t>
      </w:r>
      <w:r>
        <w:rPr>
          <w:rFonts w:cstheme="minorHAnsi"/>
          <w:sz w:val="20"/>
          <w:szCs w:val="20"/>
        </w:rPr>
        <w:t xml:space="preserve"> y es transferida a través de la Secretaría de Fomento Turístico de Yucatán.</w:t>
      </w:r>
    </w:p>
    <w:p w:rsidR="002032D1" w:rsidRPr="00522D65" w:rsidRDefault="002032D1" w:rsidP="002032D1">
      <w:pPr>
        <w:pStyle w:val="Prrafodelista"/>
        <w:numPr>
          <w:ilvl w:val="0"/>
          <w:numId w:val="4"/>
        </w:numPr>
        <w:tabs>
          <w:tab w:val="left" w:pos="426"/>
        </w:tabs>
        <w:jc w:val="both"/>
        <w:rPr>
          <w:rFonts w:cstheme="minorHAnsi"/>
          <w:sz w:val="20"/>
          <w:szCs w:val="20"/>
        </w:rPr>
      </w:pPr>
      <w:r>
        <w:rPr>
          <w:rFonts w:cstheme="minorHAnsi"/>
          <w:sz w:val="20"/>
          <w:szCs w:val="20"/>
        </w:rPr>
        <w:t>En l</w:t>
      </w:r>
      <w:r w:rsidRPr="00522D65">
        <w:rPr>
          <w:rFonts w:cstheme="minorHAnsi"/>
          <w:sz w:val="20"/>
          <w:szCs w:val="20"/>
        </w:rPr>
        <w:t>a cuenta</w:t>
      </w:r>
      <w:r>
        <w:rPr>
          <w:rFonts w:cstheme="minorHAnsi"/>
          <w:sz w:val="20"/>
          <w:szCs w:val="20"/>
        </w:rPr>
        <w:t xml:space="preserve"> de Títulos Santander</w:t>
      </w:r>
      <w:r w:rsidRPr="00522D65">
        <w:rPr>
          <w:rFonts w:cstheme="minorHAnsi"/>
          <w:sz w:val="20"/>
          <w:szCs w:val="20"/>
        </w:rPr>
        <w:t xml:space="preserve"> 1752-3 (Ingresos)</w:t>
      </w:r>
      <w:r>
        <w:rPr>
          <w:rFonts w:cstheme="minorHAnsi"/>
          <w:sz w:val="20"/>
          <w:szCs w:val="20"/>
        </w:rPr>
        <w:t>, se invierten los ingresos por venta de bienes y servicios producto de la comercialización del Recinto y sus servicios conexos.</w:t>
      </w:r>
    </w:p>
    <w:p w:rsidR="006A4DF5" w:rsidRPr="00693310" w:rsidRDefault="002032D1" w:rsidP="006A4DF5">
      <w:pPr>
        <w:pStyle w:val="Prrafodelista"/>
        <w:numPr>
          <w:ilvl w:val="0"/>
          <w:numId w:val="4"/>
        </w:numPr>
        <w:tabs>
          <w:tab w:val="left" w:pos="426"/>
        </w:tabs>
        <w:jc w:val="both"/>
        <w:rPr>
          <w:rFonts w:cstheme="minorHAnsi"/>
          <w:sz w:val="20"/>
          <w:szCs w:val="20"/>
        </w:rPr>
      </w:pPr>
      <w:r>
        <w:rPr>
          <w:rFonts w:cstheme="minorHAnsi"/>
          <w:sz w:val="20"/>
          <w:szCs w:val="20"/>
        </w:rPr>
        <w:t>En l</w:t>
      </w:r>
      <w:r w:rsidRPr="00522D65">
        <w:rPr>
          <w:rFonts w:cstheme="minorHAnsi"/>
          <w:sz w:val="20"/>
          <w:szCs w:val="20"/>
        </w:rPr>
        <w:t>a cuenta</w:t>
      </w:r>
      <w:r>
        <w:rPr>
          <w:rFonts w:cstheme="minorHAnsi"/>
          <w:sz w:val="20"/>
          <w:szCs w:val="20"/>
        </w:rPr>
        <w:t xml:space="preserve"> de Títulos</w:t>
      </w:r>
      <w:r w:rsidRPr="00522D65">
        <w:rPr>
          <w:rFonts w:cstheme="minorHAnsi"/>
          <w:sz w:val="20"/>
          <w:szCs w:val="20"/>
        </w:rPr>
        <w:t xml:space="preserve"> Santander 1888-4 (Otros Ingresos),</w:t>
      </w:r>
      <w:r>
        <w:rPr>
          <w:rFonts w:cstheme="minorHAnsi"/>
          <w:sz w:val="20"/>
          <w:szCs w:val="20"/>
        </w:rPr>
        <w:t xml:space="preserve"> se invierten</w:t>
      </w:r>
      <w:r w:rsidRPr="00522D65">
        <w:rPr>
          <w:rFonts w:cstheme="minorHAnsi"/>
          <w:sz w:val="20"/>
          <w:szCs w:val="20"/>
        </w:rPr>
        <w:t xml:space="preserve"> todos aquellos otros ingresos que el Fideicomiso pueda recaudar, diferentes a los de comercialización de espacios y servicios del Centro Internacional de Congres</w:t>
      </w:r>
      <w:r w:rsidR="00C35D5C">
        <w:rPr>
          <w:rFonts w:cstheme="minorHAnsi"/>
          <w:sz w:val="20"/>
          <w:szCs w:val="20"/>
        </w:rPr>
        <w:t>os de Yucatán</w:t>
      </w:r>
      <w:r w:rsidRPr="00522D65">
        <w:rPr>
          <w:rFonts w:cstheme="minorHAnsi"/>
          <w:sz w:val="20"/>
          <w:szCs w:val="20"/>
        </w:rPr>
        <w:t>.</w:t>
      </w:r>
    </w:p>
    <w:p w:rsidR="00D85CF5" w:rsidRPr="00D85CF5" w:rsidRDefault="00D85CF5" w:rsidP="00D85CF5">
      <w:pPr>
        <w:tabs>
          <w:tab w:val="left" w:pos="426"/>
        </w:tabs>
        <w:jc w:val="both"/>
        <w:rPr>
          <w:rFonts w:cstheme="minorHAnsi"/>
          <w:b/>
          <w:sz w:val="20"/>
          <w:szCs w:val="20"/>
        </w:rPr>
      </w:pPr>
      <w:r w:rsidRPr="00D85CF5">
        <w:rPr>
          <w:rFonts w:cstheme="minorHAnsi"/>
          <w:b/>
          <w:sz w:val="20"/>
          <w:szCs w:val="20"/>
        </w:rPr>
        <w:t>1.1.5.2 Participaciones y Aportaciones de Capital</w:t>
      </w:r>
    </w:p>
    <w:p w:rsidR="00D7672A" w:rsidRDefault="004E6F8E" w:rsidP="00D7672A">
      <w:pPr>
        <w:tabs>
          <w:tab w:val="left" w:pos="426"/>
        </w:tabs>
        <w:jc w:val="both"/>
        <w:rPr>
          <w:rFonts w:cstheme="minorHAnsi"/>
          <w:sz w:val="20"/>
          <w:szCs w:val="20"/>
        </w:rPr>
      </w:pPr>
      <w:r>
        <w:rPr>
          <w:rFonts w:cstheme="minorHAnsi"/>
          <w:sz w:val="20"/>
          <w:szCs w:val="20"/>
        </w:rPr>
        <w:t>Al 30</w:t>
      </w:r>
      <w:r w:rsidR="00DD6970">
        <w:rPr>
          <w:rFonts w:cstheme="minorHAnsi"/>
          <w:sz w:val="20"/>
          <w:szCs w:val="20"/>
        </w:rPr>
        <w:t xml:space="preserve"> de </w:t>
      </w:r>
      <w:r>
        <w:rPr>
          <w:rFonts w:cstheme="minorHAnsi"/>
          <w:sz w:val="20"/>
          <w:szCs w:val="20"/>
        </w:rPr>
        <w:t>junio</w:t>
      </w:r>
      <w:r w:rsidR="003410CE">
        <w:rPr>
          <w:rFonts w:cstheme="minorHAnsi"/>
          <w:sz w:val="20"/>
          <w:szCs w:val="20"/>
        </w:rPr>
        <w:t xml:space="preserve"> de 2021</w:t>
      </w:r>
      <w:r w:rsidR="00D85CF5">
        <w:rPr>
          <w:rFonts w:cstheme="minorHAnsi"/>
          <w:sz w:val="20"/>
          <w:szCs w:val="20"/>
        </w:rPr>
        <w:t xml:space="preserve"> el Fideicomiso no cuenta con participaciones o ha realizado aportaciones de capital.</w:t>
      </w:r>
    </w:p>
    <w:p w:rsidR="00295A1C" w:rsidRDefault="00295A1C" w:rsidP="00D7672A">
      <w:pPr>
        <w:tabs>
          <w:tab w:val="left" w:pos="426"/>
        </w:tabs>
        <w:jc w:val="both"/>
        <w:rPr>
          <w:rFonts w:cstheme="minorHAnsi"/>
          <w:sz w:val="20"/>
          <w:szCs w:val="20"/>
        </w:rPr>
      </w:pPr>
    </w:p>
    <w:p w:rsidR="006A4DF5" w:rsidRDefault="006A4DF5" w:rsidP="00D7672A">
      <w:pPr>
        <w:tabs>
          <w:tab w:val="left" w:pos="426"/>
        </w:tabs>
        <w:jc w:val="both"/>
        <w:rPr>
          <w:rFonts w:cstheme="minorHAnsi"/>
          <w:sz w:val="20"/>
          <w:szCs w:val="20"/>
        </w:rPr>
      </w:pPr>
    </w:p>
    <w:p w:rsidR="006A4DF5" w:rsidRPr="00D7672A" w:rsidRDefault="006A4DF5" w:rsidP="00D7672A">
      <w:pPr>
        <w:tabs>
          <w:tab w:val="left" w:pos="426"/>
        </w:tabs>
        <w:jc w:val="both"/>
        <w:rPr>
          <w:rFonts w:cstheme="minorHAnsi"/>
          <w:sz w:val="20"/>
          <w:szCs w:val="20"/>
        </w:rPr>
      </w:pPr>
    </w:p>
    <w:p w:rsidR="000F1626" w:rsidRPr="00522D65" w:rsidRDefault="00C33A7A" w:rsidP="000F1626">
      <w:pPr>
        <w:jc w:val="both"/>
        <w:rPr>
          <w:rFonts w:eastAsia="Calibri" w:cstheme="minorHAnsi"/>
          <w:b/>
          <w:sz w:val="20"/>
          <w:szCs w:val="20"/>
        </w:rPr>
      </w:pPr>
      <w:r>
        <w:rPr>
          <w:rFonts w:eastAsia="Calibri" w:cstheme="minorHAnsi"/>
          <w:b/>
          <w:sz w:val="20"/>
          <w:szCs w:val="20"/>
        </w:rPr>
        <w:t>1.1.6</w:t>
      </w:r>
      <w:r w:rsidR="000C5C7E" w:rsidRPr="00522D65">
        <w:rPr>
          <w:rFonts w:eastAsia="Calibri" w:cstheme="minorHAnsi"/>
          <w:b/>
          <w:sz w:val="20"/>
          <w:szCs w:val="20"/>
        </w:rPr>
        <w:t xml:space="preserve"> </w:t>
      </w:r>
      <w:r w:rsidR="000F1626" w:rsidRPr="00522D65">
        <w:rPr>
          <w:rFonts w:eastAsia="Calibri" w:cstheme="minorHAnsi"/>
          <w:b/>
          <w:sz w:val="20"/>
          <w:szCs w:val="20"/>
        </w:rPr>
        <w:t>Bienes Muebles, Inmuebles e Intangibles</w:t>
      </w:r>
    </w:p>
    <w:p w:rsidR="00C2788C" w:rsidRDefault="004E6F8E" w:rsidP="000F1626">
      <w:pPr>
        <w:jc w:val="both"/>
        <w:rPr>
          <w:rFonts w:eastAsia="Calibri" w:cstheme="minorHAnsi"/>
          <w:sz w:val="20"/>
          <w:szCs w:val="20"/>
        </w:rPr>
      </w:pPr>
      <w:r>
        <w:rPr>
          <w:rFonts w:eastAsia="Calibri" w:cstheme="minorHAnsi"/>
          <w:sz w:val="20"/>
          <w:szCs w:val="20"/>
        </w:rPr>
        <w:t>Al 30</w:t>
      </w:r>
      <w:r w:rsidR="00736B7E">
        <w:rPr>
          <w:rFonts w:eastAsia="Calibri" w:cstheme="minorHAnsi"/>
          <w:sz w:val="20"/>
          <w:szCs w:val="20"/>
        </w:rPr>
        <w:t xml:space="preserve"> de </w:t>
      </w:r>
      <w:r>
        <w:rPr>
          <w:rFonts w:eastAsia="Calibri" w:cstheme="minorHAnsi"/>
          <w:sz w:val="20"/>
          <w:szCs w:val="20"/>
        </w:rPr>
        <w:t>junio</w:t>
      </w:r>
      <w:r w:rsidR="003410CE">
        <w:rPr>
          <w:rFonts w:eastAsia="Calibri" w:cstheme="minorHAnsi"/>
          <w:sz w:val="20"/>
          <w:szCs w:val="20"/>
        </w:rPr>
        <w:t xml:space="preserve"> de 2021</w:t>
      </w:r>
      <w:r w:rsidR="0024209F">
        <w:rPr>
          <w:rFonts w:eastAsia="Calibri" w:cstheme="minorHAnsi"/>
          <w:sz w:val="20"/>
          <w:szCs w:val="20"/>
        </w:rPr>
        <w:t xml:space="preserve">, el Fideicomiso </w:t>
      </w:r>
      <w:r w:rsidR="000C5C7E" w:rsidRPr="00522D65">
        <w:rPr>
          <w:rFonts w:eastAsia="Calibri" w:cstheme="minorHAnsi"/>
          <w:sz w:val="20"/>
          <w:szCs w:val="20"/>
        </w:rPr>
        <w:t>cuenta</w:t>
      </w:r>
      <w:r w:rsidR="0024209F">
        <w:rPr>
          <w:rFonts w:eastAsia="Calibri" w:cstheme="minorHAnsi"/>
          <w:sz w:val="20"/>
          <w:szCs w:val="20"/>
        </w:rPr>
        <w:t xml:space="preserve"> </w:t>
      </w:r>
      <w:r w:rsidR="000C5C7E" w:rsidRPr="00522D65">
        <w:rPr>
          <w:rFonts w:eastAsia="Calibri" w:cstheme="minorHAnsi"/>
          <w:sz w:val="20"/>
          <w:szCs w:val="20"/>
        </w:rPr>
        <w:t>con</w:t>
      </w:r>
      <w:r w:rsidR="0024209F">
        <w:rPr>
          <w:rFonts w:eastAsia="Calibri" w:cstheme="minorHAnsi"/>
          <w:sz w:val="20"/>
          <w:szCs w:val="20"/>
        </w:rPr>
        <w:t xml:space="preserve"> los siguientes</w:t>
      </w:r>
      <w:r w:rsidR="000C5C7E" w:rsidRPr="00522D65">
        <w:rPr>
          <w:rFonts w:eastAsia="Calibri" w:cstheme="minorHAnsi"/>
          <w:sz w:val="20"/>
          <w:szCs w:val="20"/>
        </w:rPr>
        <w:t xml:space="preserve"> bienes muebles, inmuebles </w:t>
      </w:r>
      <w:r w:rsidR="008D30A8" w:rsidRPr="00522D65">
        <w:rPr>
          <w:rFonts w:eastAsia="Calibri" w:cstheme="minorHAnsi"/>
          <w:sz w:val="20"/>
          <w:szCs w:val="20"/>
        </w:rPr>
        <w:t>e intangibles.</w:t>
      </w:r>
    </w:p>
    <w:p w:rsidR="003B3772" w:rsidRPr="00522D65" w:rsidRDefault="00961B28" w:rsidP="003B3772">
      <w:pPr>
        <w:jc w:val="center"/>
        <w:rPr>
          <w:rFonts w:eastAsia="Calibri" w:cstheme="minorHAnsi"/>
          <w:sz w:val="20"/>
          <w:szCs w:val="20"/>
        </w:rPr>
      </w:pPr>
      <w:r w:rsidRPr="00961B28">
        <w:drawing>
          <wp:inline distT="0" distB="0" distL="0" distR="0">
            <wp:extent cx="3352800" cy="4029075"/>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4029075"/>
                    </a:xfrm>
                    <a:prstGeom prst="rect">
                      <a:avLst/>
                    </a:prstGeom>
                    <a:noFill/>
                    <a:ln>
                      <a:noFill/>
                    </a:ln>
                  </pic:spPr>
                </pic:pic>
              </a:graphicData>
            </a:graphic>
          </wp:inline>
        </w:drawing>
      </w:r>
    </w:p>
    <w:p w:rsidR="00426EE9" w:rsidRPr="00815B0E" w:rsidRDefault="00426EE9" w:rsidP="002E650D">
      <w:pPr>
        <w:rPr>
          <w:rFonts w:eastAsia="Calibri" w:cstheme="minorHAnsi"/>
          <w:sz w:val="20"/>
          <w:szCs w:val="20"/>
        </w:rPr>
      </w:pPr>
    </w:p>
    <w:p w:rsidR="00584B82" w:rsidRPr="00B6671A" w:rsidRDefault="00584B82" w:rsidP="000F1626">
      <w:pPr>
        <w:jc w:val="both"/>
        <w:rPr>
          <w:rFonts w:eastAsia="Calibri" w:cstheme="minorHAnsi"/>
          <w:sz w:val="20"/>
          <w:szCs w:val="20"/>
        </w:rPr>
      </w:pPr>
      <w:r w:rsidRPr="00B6671A">
        <w:rPr>
          <w:rFonts w:eastAsia="Calibri" w:cstheme="minorHAnsi"/>
          <w:sz w:val="20"/>
          <w:szCs w:val="20"/>
        </w:rPr>
        <w:t xml:space="preserve">La depreciación de los bienes muebles con los que cuenta el Fideicomiso se realiza conforme a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A </w:t>
      </w:r>
      <w:r w:rsidR="00B6671A" w:rsidRPr="00B6671A">
        <w:rPr>
          <w:rFonts w:eastAsia="Calibri" w:cstheme="minorHAnsi"/>
          <w:sz w:val="20"/>
          <w:szCs w:val="20"/>
        </w:rPr>
        <w:t>continuación,</w:t>
      </w:r>
      <w:r w:rsidRPr="00B6671A">
        <w:rPr>
          <w:rFonts w:eastAsia="Calibri" w:cstheme="minorHAnsi"/>
          <w:sz w:val="20"/>
          <w:szCs w:val="20"/>
        </w:rPr>
        <w:t xml:space="preserve"> se presenta </w:t>
      </w:r>
      <w:r w:rsidR="00B6671A" w:rsidRPr="00B6671A">
        <w:rPr>
          <w:rFonts w:eastAsia="Calibri" w:cstheme="minorHAnsi"/>
          <w:sz w:val="20"/>
          <w:szCs w:val="20"/>
        </w:rPr>
        <w:t>la vida útil y porcentaje de depreciación anual.</w:t>
      </w:r>
    </w:p>
    <w:p w:rsidR="00426EE9" w:rsidRDefault="00426EE9" w:rsidP="00B6671A">
      <w:pPr>
        <w:jc w:val="center"/>
        <w:rPr>
          <w:rFonts w:eastAsia="Calibri" w:cstheme="minorHAnsi"/>
          <w:b/>
          <w:sz w:val="20"/>
          <w:szCs w:val="20"/>
        </w:rPr>
      </w:pPr>
    </w:p>
    <w:p w:rsidR="00B6671A" w:rsidRDefault="00B6671A" w:rsidP="00B6671A">
      <w:pPr>
        <w:jc w:val="center"/>
        <w:rPr>
          <w:rFonts w:eastAsia="Calibri" w:cstheme="minorHAnsi"/>
          <w:b/>
          <w:sz w:val="20"/>
          <w:szCs w:val="20"/>
        </w:rPr>
      </w:pPr>
      <w:r w:rsidRPr="00B6671A">
        <w:rPr>
          <w:noProof/>
          <w:lang w:eastAsia="es-MX"/>
        </w:rPr>
        <w:lastRenderedPageBreak/>
        <w:drawing>
          <wp:inline distT="0" distB="0" distL="0" distR="0">
            <wp:extent cx="4886325" cy="33598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65" cy="3362232"/>
                    </a:xfrm>
                    <a:prstGeom prst="rect">
                      <a:avLst/>
                    </a:prstGeom>
                    <a:noFill/>
                    <a:ln>
                      <a:noFill/>
                    </a:ln>
                  </pic:spPr>
                </pic:pic>
              </a:graphicData>
            </a:graphic>
          </wp:inline>
        </w:drawing>
      </w:r>
    </w:p>
    <w:p w:rsidR="008F51DD" w:rsidRDefault="008F51DD" w:rsidP="00B6671A">
      <w:pPr>
        <w:tabs>
          <w:tab w:val="left" w:pos="567"/>
        </w:tabs>
        <w:spacing w:after="0" w:line="240" w:lineRule="auto"/>
        <w:rPr>
          <w:rFonts w:ascii="Calibri" w:hAnsi="Calibri"/>
          <w:b/>
          <w:sz w:val="20"/>
          <w:szCs w:val="20"/>
        </w:rPr>
      </w:pPr>
      <w:r>
        <w:rPr>
          <w:rFonts w:ascii="Calibri" w:hAnsi="Calibri"/>
          <w:b/>
          <w:sz w:val="20"/>
          <w:szCs w:val="20"/>
        </w:rPr>
        <w:t>1.1.7 Estimaciones y Deterioros</w:t>
      </w:r>
      <w:r w:rsidRPr="00B6671A">
        <w:rPr>
          <w:rFonts w:ascii="Calibri" w:hAnsi="Calibri"/>
          <w:b/>
          <w:sz w:val="20"/>
          <w:szCs w:val="20"/>
        </w:rPr>
        <w:t>.</w:t>
      </w:r>
    </w:p>
    <w:p w:rsidR="008F51DD" w:rsidRDefault="008F51DD" w:rsidP="00B6671A">
      <w:pPr>
        <w:tabs>
          <w:tab w:val="left" w:pos="567"/>
        </w:tabs>
        <w:spacing w:after="0" w:line="240" w:lineRule="auto"/>
        <w:rPr>
          <w:rFonts w:ascii="Calibri" w:hAnsi="Calibri"/>
          <w:b/>
          <w:sz w:val="20"/>
          <w:szCs w:val="20"/>
        </w:rPr>
      </w:pPr>
    </w:p>
    <w:p w:rsidR="008F51DD" w:rsidRDefault="008F51DD" w:rsidP="00AA1395">
      <w:pPr>
        <w:tabs>
          <w:tab w:val="left" w:pos="567"/>
        </w:tabs>
        <w:spacing w:after="0" w:line="240" w:lineRule="auto"/>
        <w:jc w:val="both"/>
        <w:rPr>
          <w:rFonts w:ascii="Calibri" w:hAnsi="Calibri"/>
          <w:b/>
          <w:sz w:val="20"/>
          <w:szCs w:val="20"/>
        </w:rPr>
      </w:pPr>
      <w:r w:rsidRPr="008F51DD">
        <w:rPr>
          <w:rFonts w:ascii="Calibri" w:hAnsi="Calibri"/>
          <w:sz w:val="20"/>
          <w:szCs w:val="20"/>
        </w:rPr>
        <w:t>No existe información que revelar acerca de este rubro en el</w:t>
      </w:r>
      <w:r>
        <w:rPr>
          <w:rFonts w:ascii="Calibri" w:hAnsi="Calibri"/>
          <w:b/>
          <w:sz w:val="20"/>
          <w:szCs w:val="20"/>
        </w:rPr>
        <w:t xml:space="preserve"> </w:t>
      </w:r>
      <w:r w:rsidRPr="00853E3D">
        <w:rPr>
          <w:rFonts w:ascii="Calibri" w:hAnsi="Calibri"/>
          <w:sz w:val="20"/>
          <w:szCs w:val="20"/>
        </w:rPr>
        <w:t xml:space="preserve">Fideicomiso </w:t>
      </w:r>
      <w:r>
        <w:rPr>
          <w:rFonts w:ascii="Calibri" w:hAnsi="Calibri"/>
          <w:sz w:val="20"/>
          <w:szCs w:val="20"/>
        </w:rPr>
        <w:t>Público para el Desarrollo del Turismo de Reuniones en Yucatán.</w:t>
      </w:r>
    </w:p>
    <w:p w:rsidR="008F51DD" w:rsidRDefault="008F51DD" w:rsidP="00B6671A">
      <w:pPr>
        <w:tabs>
          <w:tab w:val="left" w:pos="567"/>
        </w:tabs>
        <w:spacing w:after="0" w:line="240" w:lineRule="auto"/>
        <w:rPr>
          <w:rFonts w:ascii="Calibri" w:hAnsi="Calibri"/>
          <w:b/>
          <w:sz w:val="20"/>
          <w:szCs w:val="20"/>
        </w:rPr>
      </w:pPr>
    </w:p>
    <w:p w:rsidR="00B6671A" w:rsidRPr="00B6671A" w:rsidRDefault="008F51DD" w:rsidP="00B6671A">
      <w:pPr>
        <w:tabs>
          <w:tab w:val="left" w:pos="567"/>
        </w:tabs>
        <w:spacing w:after="0" w:line="240" w:lineRule="auto"/>
        <w:rPr>
          <w:rFonts w:ascii="Calibri" w:hAnsi="Calibri"/>
          <w:b/>
          <w:sz w:val="20"/>
          <w:szCs w:val="20"/>
        </w:rPr>
      </w:pPr>
      <w:r>
        <w:rPr>
          <w:rFonts w:ascii="Calibri" w:hAnsi="Calibri"/>
          <w:b/>
          <w:sz w:val="20"/>
          <w:szCs w:val="20"/>
        </w:rPr>
        <w:t>1.1.7</w:t>
      </w:r>
      <w:r w:rsidR="00B6671A">
        <w:rPr>
          <w:rFonts w:ascii="Calibri" w:hAnsi="Calibri"/>
          <w:b/>
          <w:sz w:val="20"/>
          <w:szCs w:val="20"/>
        </w:rPr>
        <w:t xml:space="preserve"> </w:t>
      </w:r>
      <w:r w:rsidR="00426EE9">
        <w:rPr>
          <w:rFonts w:ascii="Calibri" w:hAnsi="Calibri"/>
          <w:b/>
          <w:sz w:val="20"/>
          <w:szCs w:val="20"/>
        </w:rPr>
        <w:t>Otros Activos</w:t>
      </w:r>
      <w:r w:rsidR="00B6671A" w:rsidRPr="00B6671A">
        <w:rPr>
          <w:rFonts w:ascii="Calibri" w:hAnsi="Calibri"/>
          <w:b/>
          <w:sz w:val="20"/>
          <w:szCs w:val="20"/>
        </w:rPr>
        <w:t>.</w:t>
      </w:r>
    </w:p>
    <w:p w:rsidR="00B6671A" w:rsidRPr="00B6671A" w:rsidRDefault="00B6671A" w:rsidP="00B6671A">
      <w:pPr>
        <w:pStyle w:val="Prrafodelista"/>
        <w:tabs>
          <w:tab w:val="left" w:pos="567"/>
        </w:tabs>
        <w:spacing w:after="0" w:line="240" w:lineRule="auto"/>
        <w:ind w:left="0"/>
        <w:rPr>
          <w:rFonts w:ascii="Calibri" w:hAnsi="Calibri"/>
          <w:b/>
          <w:sz w:val="20"/>
          <w:szCs w:val="20"/>
        </w:rPr>
      </w:pPr>
    </w:p>
    <w:p w:rsidR="00B6671A" w:rsidRPr="00853E3D" w:rsidRDefault="00B6671A" w:rsidP="00AA1395">
      <w:pPr>
        <w:autoSpaceDE w:val="0"/>
        <w:rPr>
          <w:rFonts w:ascii="Calibri" w:hAnsi="Calibri"/>
          <w:sz w:val="20"/>
          <w:szCs w:val="20"/>
        </w:rPr>
      </w:pPr>
      <w:r w:rsidRPr="00853E3D">
        <w:rPr>
          <w:rFonts w:ascii="Calibri" w:hAnsi="Calibri"/>
          <w:sz w:val="20"/>
          <w:szCs w:val="20"/>
        </w:rPr>
        <w:t xml:space="preserve">El Fideicomiso </w:t>
      </w:r>
      <w:r>
        <w:rPr>
          <w:rFonts w:ascii="Calibri" w:hAnsi="Calibri"/>
          <w:sz w:val="20"/>
          <w:szCs w:val="20"/>
        </w:rPr>
        <w:t>Público para el Desarrollo del Turismo de Reuniones en Yucatán no cuenta con otros activos circulantes</w:t>
      </w:r>
      <w:r w:rsidR="00426EE9">
        <w:rPr>
          <w:rFonts w:ascii="Calibri" w:hAnsi="Calibri"/>
          <w:sz w:val="20"/>
          <w:szCs w:val="20"/>
        </w:rPr>
        <w:t xml:space="preserve"> y no circulantes</w:t>
      </w:r>
      <w:r w:rsidRPr="00853E3D">
        <w:rPr>
          <w:rFonts w:ascii="Calibri" w:hAnsi="Calibri"/>
          <w:sz w:val="20"/>
          <w:szCs w:val="20"/>
        </w:rPr>
        <w:t>.</w:t>
      </w:r>
    </w:p>
    <w:p w:rsidR="00690751" w:rsidRDefault="00690751" w:rsidP="00B6671A">
      <w:pPr>
        <w:rPr>
          <w:rFonts w:eastAsia="Calibri" w:cstheme="minorHAnsi"/>
          <w:b/>
          <w:sz w:val="20"/>
          <w:szCs w:val="20"/>
        </w:rPr>
      </w:pPr>
    </w:p>
    <w:p w:rsidR="000F1626" w:rsidRPr="00522D65" w:rsidRDefault="00C2788C" w:rsidP="000F1626">
      <w:pPr>
        <w:jc w:val="both"/>
        <w:rPr>
          <w:rFonts w:eastAsia="Calibri" w:cstheme="minorHAnsi"/>
          <w:b/>
          <w:sz w:val="20"/>
          <w:szCs w:val="20"/>
        </w:rPr>
      </w:pPr>
      <w:r w:rsidRPr="00522D65">
        <w:rPr>
          <w:rFonts w:eastAsia="Calibri" w:cstheme="minorHAnsi"/>
          <w:b/>
          <w:sz w:val="20"/>
          <w:szCs w:val="20"/>
        </w:rPr>
        <w:t>1.2</w:t>
      </w:r>
      <w:r w:rsidR="008D30A8" w:rsidRPr="00522D65">
        <w:rPr>
          <w:rFonts w:eastAsia="Calibri" w:cstheme="minorHAnsi"/>
          <w:b/>
          <w:sz w:val="20"/>
          <w:szCs w:val="20"/>
        </w:rPr>
        <w:t>. Pasivo</w:t>
      </w:r>
    </w:p>
    <w:p w:rsidR="008D30A8" w:rsidRPr="00522D65" w:rsidRDefault="00C2788C" w:rsidP="000F1626">
      <w:pPr>
        <w:jc w:val="both"/>
        <w:rPr>
          <w:rFonts w:eastAsia="Calibri" w:cstheme="minorHAnsi"/>
          <w:b/>
          <w:sz w:val="20"/>
          <w:szCs w:val="20"/>
        </w:rPr>
      </w:pPr>
      <w:r w:rsidRPr="00522D65">
        <w:rPr>
          <w:rFonts w:eastAsia="Calibri" w:cstheme="minorHAnsi"/>
          <w:b/>
          <w:sz w:val="20"/>
          <w:szCs w:val="20"/>
        </w:rPr>
        <w:t>1.2.1.</w:t>
      </w:r>
      <w:r w:rsidR="008D30A8" w:rsidRPr="00522D65">
        <w:rPr>
          <w:rFonts w:eastAsia="Calibri" w:cstheme="minorHAnsi"/>
          <w:b/>
          <w:sz w:val="20"/>
          <w:szCs w:val="20"/>
        </w:rPr>
        <w:t xml:space="preserve"> Cuentas por pagar a corto plazo.</w:t>
      </w:r>
    </w:p>
    <w:p w:rsidR="008D30A8" w:rsidRDefault="008D30A8" w:rsidP="000F1626">
      <w:pPr>
        <w:jc w:val="both"/>
        <w:rPr>
          <w:rFonts w:eastAsia="Calibri" w:cstheme="minorHAnsi"/>
          <w:sz w:val="20"/>
          <w:szCs w:val="20"/>
        </w:rPr>
      </w:pPr>
      <w:r w:rsidRPr="00522D65">
        <w:rPr>
          <w:rFonts w:eastAsia="Calibri" w:cstheme="minorHAnsi"/>
          <w:sz w:val="20"/>
          <w:szCs w:val="20"/>
        </w:rPr>
        <w:t>En el rubro de cuent</w:t>
      </w:r>
      <w:r w:rsidR="0024209F">
        <w:rPr>
          <w:rFonts w:eastAsia="Calibri" w:cstheme="minorHAnsi"/>
          <w:sz w:val="20"/>
          <w:szCs w:val="20"/>
        </w:rPr>
        <w:t xml:space="preserve">as por pagar a corto plazo </w:t>
      </w:r>
      <w:r w:rsidR="00961B28">
        <w:rPr>
          <w:rFonts w:eastAsia="Calibri" w:cstheme="minorHAnsi"/>
          <w:sz w:val="20"/>
          <w:szCs w:val="20"/>
        </w:rPr>
        <w:t>al 30 de junio</w:t>
      </w:r>
      <w:r w:rsidR="003410CE">
        <w:rPr>
          <w:rFonts w:eastAsia="Calibri" w:cstheme="minorHAnsi"/>
          <w:sz w:val="20"/>
          <w:szCs w:val="20"/>
        </w:rPr>
        <w:t xml:space="preserve"> de 2021</w:t>
      </w:r>
      <w:r w:rsidRPr="00522D65">
        <w:rPr>
          <w:rFonts w:eastAsia="Calibri" w:cstheme="minorHAnsi"/>
          <w:sz w:val="20"/>
          <w:szCs w:val="20"/>
        </w:rPr>
        <w:t xml:space="preserve"> se integra de la siguiente manera:</w:t>
      </w:r>
    </w:p>
    <w:p w:rsidR="00815B0E" w:rsidRDefault="00961B28" w:rsidP="00B6671A">
      <w:pPr>
        <w:ind w:left="708" w:hanging="708"/>
        <w:jc w:val="center"/>
        <w:rPr>
          <w:rFonts w:eastAsia="Calibri" w:cstheme="minorHAnsi"/>
          <w:sz w:val="20"/>
          <w:szCs w:val="20"/>
        </w:rPr>
      </w:pPr>
      <w:r w:rsidRPr="00961B28">
        <w:drawing>
          <wp:inline distT="0" distB="0" distL="0" distR="0">
            <wp:extent cx="4810125" cy="8382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0125" cy="838200"/>
                    </a:xfrm>
                    <a:prstGeom prst="rect">
                      <a:avLst/>
                    </a:prstGeom>
                    <a:noFill/>
                    <a:ln>
                      <a:noFill/>
                    </a:ln>
                  </pic:spPr>
                </pic:pic>
              </a:graphicData>
            </a:graphic>
          </wp:inline>
        </w:drawing>
      </w:r>
    </w:p>
    <w:p w:rsidR="00645BDF" w:rsidRDefault="00645BDF" w:rsidP="00B6671A">
      <w:pPr>
        <w:ind w:left="708" w:hanging="708"/>
        <w:jc w:val="center"/>
        <w:rPr>
          <w:rFonts w:eastAsia="Calibri" w:cstheme="minorHAnsi"/>
          <w:sz w:val="20"/>
          <w:szCs w:val="20"/>
        </w:rPr>
      </w:pPr>
    </w:p>
    <w:p w:rsidR="00774FDF" w:rsidRDefault="00774FDF" w:rsidP="00B6671A">
      <w:pPr>
        <w:ind w:left="708" w:hanging="708"/>
        <w:jc w:val="center"/>
        <w:rPr>
          <w:rFonts w:eastAsia="Calibri" w:cstheme="minorHAnsi"/>
          <w:sz w:val="20"/>
          <w:szCs w:val="20"/>
        </w:rPr>
      </w:pPr>
    </w:p>
    <w:p w:rsidR="00E8048C" w:rsidRPr="0024209F" w:rsidRDefault="00E8048C" w:rsidP="00B6671A">
      <w:pPr>
        <w:ind w:left="708" w:hanging="708"/>
        <w:jc w:val="center"/>
        <w:rPr>
          <w:rFonts w:eastAsia="Calibri" w:cstheme="minorHAnsi"/>
          <w:sz w:val="20"/>
          <w:szCs w:val="20"/>
        </w:rPr>
      </w:pPr>
    </w:p>
    <w:p w:rsidR="008D30A8" w:rsidRDefault="00C2788C" w:rsidP="008D30A8">
      <w:pPr>
        <w:rPr>
          <w:rFonts w:eastAsia="Calibri" w:cstheme="minorHAnsi"/>
          <w:sz w:val="20"/>
          <w:szCs w:val="20"/>
        </w:rPr>
      </w:pPr>
      <w:r w:rsidRPr="00522D65">
        <w:rPr>
          <w:rFonts w:eastAsia="Calibri" w:cstheme="minorHAnsi"/>
          <w:b/>
          <w:sz w:val="20"/>
          <w:szCs w:val="20"/>
        </w:rPr>
        <w:lastRenderedPageBreak/>
        <w:t>1.2</w:t>
      </w:r>
      <w:r w:rsidR="008D30A8" w:rsidRPr="00522D65">
        <w:rPr>
          <w:rFonts w:eastAsia="Calibri" w:cstheme="minorHAnsi"/>
          <w:b/>
          <w:sz w:val="20"/>
          <w:szCs w:val="20"/>
        </w:rPr>
        <w:t>.1</w:t>
      </w:r>
      <w:r w:rsidR="00711265" w:rsidRPr="00522D65">
        <w:rPr>
          <w:rFonts w:eastAsia="Calibri" w:cstheme="minorHAnsi"/>
          <w:b/>
          <w:sz w:val="20"/>
          <w:szCs w:val="20"/>
        </w:rPr>
        <w:t>.1</w:t>
      </w:r>
      <w:r w:rsidR="008D30A8" w:rsidRPr="00522D65">
        <w:rPr>
          <w:rFonts w:eastAsia="Calibri" w:cstheme="minorHAnsi"/>
          <w:b/>
          <w:sz w:val="20"/>
          <w:szCs w:val="20"/>
        </w:rPr>
        <w:t xml:space="preserve"> </w:t>
      </w:r>
      <w:r w:rsidR="004C10A1">
        <w:rPr>
          <w:rFonts w:eastAsia="Calibri" w:cstheme="minorHAnsi"/>
          <w:sz w:val="20"/>
          <w:szCs w:val="20"/>
        </w:rPr>
        <w:t>Al 30</w:t>
      </w:r>
      <w:r w:rsidR="001D6808">
        <w:rPr>
          <w:rFonts w:eastAsia="Calibri" w:cstheme="minorHAnsi"/>
          <w:sz w:val="20"/>
          <w:szCs w:val="20"/>
        </w:rPr>
        <w:t xml:space="preserve"> </w:t>
      </w:r>
      <w:r w:rsidR="004C10A1">
        <w:rPr>
          <w:rFonts w:eastAsia="Calibri" w:cstheme="minorHAnsi"/>
          <w:sz w:val="20"/>
          <w:szCs w:val="20"/>
        </w:rPr>
        <w:t>de junio</w:t>
      </w:r>
      <w:r w:rsidR="003410CE">
        <w:rPr>
          <w:rFonts w:eastAsia="Calibri" w:cstheme="minorHAnsi"/>
          <w:sz w:val="20"/>
          <w:szCs w:val="20"/>
        </w:rPr>
        <w:t xml:space="preserve"> de 2021</w:t>
      </w:r>
      <w:r w:rsidR="009140C6">
        <w:rPr>
          <w:rFonts w:eastAsia="Calibri" w:cstheme="minorHAnsi"/>
          <w:sz w:val="20"/>
          <w:szCs w:val="20"/>
        </w:rPr>
        <w:t xml:space="preserve"> </w:t>
      </w:r>
      <w:r w:rsidR="002262B7">
        <w:rPr>
          <w:rFonts w:eastAsia="Calibri" w:cstheme="minorHAnsi"/>
          <w:sz w:val="20"/>
          <w:szCs w:val="20"/>
        </w:rPr>
        <w:t>las cuentas por pagar de proveedores se componen</w:t>
      </w:r>
      <w:r w:rsidR="009140C6">
        <w:rPr>
          <w:rFonts w:eastAsia="Calibri" w:cstheme="minorHAnsi"/>
          <w:sz w:val="20"/>
          <w:szCs w:val="20"/>
        </w:rPr>
        <w:t xml:space="preserve"> de la siguiente manera:</w:t>
      </w:r>
    </w:p>
    <w:p w:rsidR="00F329CE" w:rsidRDefault="004C10A1" w:rsidP="00426EE9">
      <w:pPr>
        <w:jc w:val="center"/>
        <w:rPr>
          <w:rFonts w:eastAsia="Calibri" w:cstheme="minorHAnsi"/>
          <w:sz w:val="20"/>
          <w:szCs w:val="20"/>
        </w:rPr>
      </w:pPr>
      <w:r w:rsidRPr="004C10A1">
        <w:drawing>
          <wp:inline distT="0" distB="0" distL="0" distR="0">
            <wp:extent cx="5612130" cy="171702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717026"/>
                    </a:xfrm>
                    <a:prstGeom prst="rect">
                      <a:avLst/>
                    </a:prstGeom>
                    <a:noFill/>
                    <a:ln>
                      <a:noFill/>
                    </a:ln>
                  </pic:spPr>
                </pic:pic>
              </a:graphicData>
            </a:graphic>
          </wp:inline>
        </w:drawing>
      </w:r>
    </w:p>
    <w:p w:rsidR="00EB1031" w:rsidRDefault="00EB1031" w:rsidP="00EB1031">
      <w:pPr>
        <w:jc w:val="both"/>
        <w:rPr>
          <w:rFonts w:eastAsia="Calibri" w:cstheme="minorHAnsi"/>
          <w:sz w:val="20"/>
          <w:szCs w:val="20"/>
        </w:rPr>
      </w:pPr>
      <w:r>
        <w:rPr>
          <w:rFonts w:eastAsia="Calibri" w:cstheme="minorHAnsi"/>
          <w:sz w:val="20"/>
          <w:szCs w:val="20"/>
        </w:rPr>
        <w:t>Las cuentas por pagar con antigüedad igual o mayor a 365 días mencionadas arriba, se encuentran en proceso de pago, el cual se realizará de acuerdo a los flujos de efectivo de operación y una vez cumpliendo los requisitos administrativos y legales dispuestos para el FIDETURE.</w:t>
      </w:r>
    </w:p>
    <w:p w:rsidR="00426EE9" w:rsidRPr="00645BDF" w:rsidRDefault="00426EE9" w:rsidP="00426EE9">
      <w:pPr>
        <w:jc w:val="center"/>
        <w:rPr>
          <w:rFonts w:eastAsia="Calibri" w:cstheme="minorHAnsi"/>
          <w:sz w:val="20"/>
          <w:szCs w:val="20"/>
        </w:rPr>
      </w:pPr>
    </w:p>
    <w:p w:rsidR="008D30A8" w:rsidRPr="00522D65" w:rsidRDefault="00711265" w:rsidP="008D30A8">
      <w:pPr>
        <w:rPr>
          <w:rFonts w:eastAsia="Calibri" w:cstheme="minorHAnsi"/>
          <w:b/>
          <w:sz w:val="20"/>
          <w:szCs w:val="20"/>
        </w:rPr>
      </w:pPr>
      <w:r w:rsidRPr="00522D65">
        <w:rPr>
          <w:rFonts w:eastAsia="Calibri" w:cstheme="minorHAnsi"/>
          <w:b/>
          <w:sz w:val="20"/>
          <w:szCs w:val="20"/>
        </w:rPr>
        <w:t>1.2</w:t>
      </w:r>
      <w:r w:rsidR="008D30A8" w:rsidRPr="00522D65">
        <w:rPr>
          <w:rFonts w:eastAsia="Calibri" w:cstheme="minorHAnsi"/>
          <w:b/>
          <w:sz w:val="20"/>
          <w:szCs w:val="20"/>
        </w:rPr>
        <w:t xml:space="preserve">.1.2 </w:t>
      </w:r>
      <w:r w:rsidR="00C2788C" w:rsidRPr="00522D65">
        <w:rPr>
          <w:rFonts w:eastAsia="Calibri" w:cstheme="minorHAnsi"/>
          <w:b/>
          <w:sz w:val="20"/>
          <w:szCs w:val="20"/>
        </w:rPr>
        <w:t>La cuenta de retenciones y contribuciones por pagar a corto plazo se encuentra conformada de la siguiente forma:</w:t>
      </w:r>
    </w:p>
    <w:p w:rsidR="00C2788C" w:rsidRPr="00522D65" w:rsidRDefault="004C10A1" w:rsidP="00C2788C">
      <w:pPr>
        <w:jc w:val="center"/>
        <w:rPr>
          <w:rFonts w:eastAsia="Calibri" w:cstheme="minorHAnsi"/>
          <w:b/>
          <w:sz w:val="20"/>
          <w:szCs w:val="20"/>
        </w:rPr>
      </w:pPr>
      <w:r w:rsidRPr="004C10A1">
        <w:drawing>
          <wp:inline distT="0" distB="0" distL="0" distR="0">
            <wp:extent cx="5612130" cy="1187079"/>
            <wp:effectExtent l="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187079"/>
                    </a:xfrm>
                    <a:prstGeom prst="rect">
                      <a:avLst/>
                    </a:prstGeom>
                    <a:noFill/>
                    <a:ln>
                      <a:noFill/>
                    </a:ln>
                  </pic:spPr>
                </pic:pic>
              </a:graphicData>
            </a:graphic>
          </wp:inline>
        </w:drawing>
      </w:r>
    </w:p>
    <w:p w:rsidR="003E676B" w:rsidRDefault="009763FF" w:rsidP="00C2788C">
      <w:pPr>
        <w:rPr>
          <w:rFonts w:eastAsia="Calibri" w:cstheme="minorHAnsi"/>
          <w:sz w:val="20"/>
          <w:szCs w:val="20"/>
        </w:rPr>
      </w:pPr>
      <w:r>
        <w:rPr>
          <w:rFonts w:eastAsia="Calibri" w:cstheme="minorHAnsi"/>
          <w:sz w:val="20"/>
          <w:szCs w:val="20"/>
        </w:rPr>
        <w:t xml:space="preserve">Los impuestos corresponden a los generados en el </w:t>
      </w:r>
      <w:r w:rsidR="007555E7">
        <w:rPr>
          <w:rFonts w:eastAsia="Calibri" w:cstheme="minorHAnsi"/>
          <w:sz w:val="20"/>
          <w:szCs w:val="20"/>
        </w:rPr>
        <w:t>mes de mayo</w:t>
      </w:r>
      <w:r w:rsidR="004C10A1">
        <w:rPr>
          <w:rFonts w:eastAsia="Calibri" w:cstheme="minorHAnsi"/>
          <w:sz w:val="20"/>
          <w:szCs w:val="20"/>
        </w:rPr>
        <w:t xml:space="preserve"> y junio</w:t>
      </w:r>
      <w:r w:rsidR="00C3389F">
        <w:rPr>
          <w:rFonts w:eastAsia="Calibri" w:cstheme="minorHAnsi"/>
          <w:sz w:val="20"/>
          <w:szCs w:val="20"/>
        </w:rPr>
        <w:t xml:space="preserve"> 2021</w:t>
      </w:r>
      <w:r w:rsidR="00560064">
        <w:rPr>
          <w:rFonts w:eastAsia="Calibri" w:cstheme="minorHAnsi"/>
          <w:sz w:val="20"/>
          <w:szCs w:val="20"/>
        </w:rPr>
        <w:t xml:space="preserve">, pero pagaderos </w:t>
      </w:r>
      <w:r w:rsidR="004C10A1">
        <w:rPr>
          <w:rFonts w:eastAsia="Calibri" w:cstheme="minorHAnsi"/>
          <w:sz w:val="20"/>
          <w:szCs w:val="20"/>
        </w:rPr>
        <w:t>en</w:t>
      </w:r>
      <w:r w:rsidR="007555E7">
        <w:rPr>
          <w:rFonts w:eastAsia="Calibri" w:cstheme="minorHAnsi"/>
          <w:sz w:val="20"/>
          <w:szCs w:val="20"/>
        </w:rPr>
        <w:t xml:space="preserve"> julio</w:t>
      </w:r>
      <w:r w:rsidR="00C6527F">
        <w:rPr>
          <w:rFonts w:eastAsia="Calibri" w:cstheme="minorHAnsi"/>
          <w:sz w:val="20"/>
          <w:szCs w:val="20"/>
        </w:rPr>
        <w:t xml:space="preserve"> </w:t>
      </w:r>
      <w:r w:rsidR="0018679E">
        <w:rPr>
          <w:rFonts w:eastAsia="Calibri" w:cstheme="minorHAnsi"/>
          <w:sz w:val="20"/>
          <w:szCs w:val="20"/>
        </w:rPr>
        <w:t>de</w:t>
      </w:r>
      <w:r w:rsidR="00EB1031">
        <w:rPr>
          <w:rFonts w:eastAsia="Calibri" w:cstheme="minorHAnsi"/>
          <w:sz w:val="20"/>
          <w:szCs w:val="20"/>
        </w:rPr>
        <w:t xml:space="preserve"> 2021. De igual forma, se contempla IVA e ISR por pagar de 2019, de acuerdo a las observaciones realizadas por el Despacho Externo de Auditoría Contable, el cual se registró en diciembre de 2020 p</w:t>
      </w:r>
      <w:r w:rsidR="00560064">
        <w:rPr>
          <w:rFonts w:eastAsia="Calibri" w:cstheme="minorHAnsi"/>
          <w:sz w:val="20"/>
          <w:szCs w:val="20"/>
        </w:rPr>
        <w:t xml:space="preserve">ara cubrir durante el </w:t>
      </w:r>
      <w:r w:rsidR="00EB1031">
        <w:rPr>
          <w:rFonts w:eastAsia="Calibri" w:cstheme="minorHAnsi"/>
          <w:sz w:val="20"/>
          <w:szCs w:val="20"/>
        </w:rPr>
        <w:t>ejercicio fiscal</w:t>
      </w:r>
      <w:r w:rsidR="00560064">
        <w:rPr>
          <w:rFonts w:eastAsia="Calibri" w:cstheme="minorHAnsi"/>
          <w:sz w:val="20"/>
          <w:szCs w:val="20"/>
        </w:rPr>
        <w:t xml:space="preserve"> 2021</w:t>
      </w:r>
      <w:r w:rsidR="00EB1031">
        <w:rPr>
          <w:rFonts w:eastAsia="Calibri" w:cstheme="minorHAnsi"/>
          <w:sz w:val="20"/>
          <w:szCs w:val="20"/>
        </w:rPr>
        <w:t>.</w:t>
      </w:r>
      <w:r w:rsidR="00DE5C9B">
        <w:rPr>
          <w:rFonts w:eastAsia="Calibri" w:cstheme="minorHAnsi"/>
          <w:sz w:val="20"/>
          <w:szCs w:val="20"/>
        </w:rPr>
        <w:t xml:space="preserve"> </w:t>
      </w:r>
    </w:p>
    <w:p w:rsidR="00C6527F" w:rsidRDefault="00C6527F" w:rsidP="00C2788C">
      <w:pPr>
        <w:rPr>
          <w:rFonts w:eastAsia="Calibri" w:cstheme="minorHAnsi"/>
          <w:b/>
          <w:sz w:val="20"/>
          <w:szCs w:val="20"/>
        </w:rPr>
      </w:pPr>
    </w:p>
    <w:p w:rsidR="009763FF" w:rsidRDefault="004C10A1" w:rsidP="00C2788C">
      <w:pPr>
        <w:rPr>
          <w:rFonts w:eastAsia="Calibri" w:cstheme="minorHAnsi"/>
          <w:b/>
          <w:sz w:val="20"/>
          <w:szCs w:val="20"/>
        </w:rPr>
      </w:pPr>
      <w:r>
        <w:rPr>
          <w:rFonts w:eastAsia="Calibri" w:cstheme="minorHAnsi"/>
          <w:b/>
          <w:sz w:val="20"/>
          <w:szCs w:val="20"/>
        </w:rPr>
        <w:t>1.2.1.3 Al 30 de junio</w:t>
      </w:r>
      <w:r w:rsidR="00560064">
        <w:rPr>
          <w:rFonts w:eastAsia="Calibri" w:cstheme="minorHAnsi"/>
          <w:b/>
          <w:sz w:val="20"/>
          <w:szCs w:val="20"/>
        </w:rPr>
        <w:t xml:space="preserve"> de 2021</w:t>
      </w:r>
      <w:r w:rsidR="008C39F0">
        <w:rPr>
          <w:rFonts w:eastAsia="Calibri" w:cstheme="minorHAnsi"/>
          <w:b/>
          <w:sz w:val="20"/>
          <w:szCs w:val="20"/>
        </w:rPr>
        <w:t xml:space="preserve"> las </w:t>
      </w:r>
      <w:r w:rsidR="009763FF" w:rsidRPr="009763FF">
        <w:rPr>
          <w:rFonts w:eastAsia="Calibri" w:cstheme="minorHAnsi"/>
          <w:b/>
          <w:sz w:val="20"/>
          <w:szCs w:val="20"/>
        </w:rPr>
        <w:t xml:space="preserve">Otras </w:t>
      </w:r>
      <w:r w:rsidR="00C5254B">
        <w:rPr>
          <w:rFonts w:eastAsia="Calibri" w:cstheme="minorHAnsi"/>
          <w:b/>
          <w:sz w:val="20"/>
          <w:szCs w:val="20"/>
        </w:rPr>
        <w:t>Cuentas por Pagar a Corto Plazo</w:t>
      </w:r>
      <w:r w:rsidR="008C39F0">
        <w:rPr>
          <w:rFonts w:eastAsia="Calibri" w:cstheme="minorHAnsi"/>
          <w:b/>
          <w:sz w:val="20"/>
          <w:szCs w:val="20"/>
        </w:rPr>
        <w:t xml:space="preserve"> se componen de la siguiente manera:</w:t>
      </w:r>
    </w:p>
    <w:p w:rsidR="00E8048C" w:rsidRDefault="0098122A" w:rsidP="00875EBC">
      <w:pPr>
        <w:jc w:val="center"/>
        <w:rPr>
          <w:rFonts w:eastAsia="Calibri" w:cstheme="minorHAnsi"/>
          <w:b/>
          <w:sz w:val="20"/>
          <w:szCs w:val="20"/>
        </w:rPr>
      </w:pPr>
      <w:r w:rsidRPr="0098122A">
        <w:drawing>
          <wp:inline distT="0" distB="0" distL="0" distR="0">
            <wp:extent cx="3467100" cy="695325"/>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695325"/>
                    </a:xfrm>
                    <a:prstGeom prst="rect">
                      <a:avLst/>
                    </a:prstGeom>
                    <a:noFill/>
                    <a:ln>
                      <a:noFill/>
                    </a:ln>
                  </pic:spPr>
                </pic:pic>
              </a:graphicData>
            </a:graphic>
          </wp:inline>
        </w:drawing>
      </w:r>
    </w:p>
    <w:p w:rsidR="00EB1031" w:rsidRPr="008F02C0" w:rsidRDefault="00EB1031" w:rsidP="008F02C0">
      <w:pPr>
        <w:jc w:val="both"/>
        <w:rPr>
          <w:rFonts w:eastAsia="Calibri" w:cstheme="minorHAnsi"/>
          <w:sz w:val="20"/>
          <w:szCs w:val="20"/>
        </w:rPr>
      </w:pPr>
      <w:r w:rsidRPr="008F02C0">
        <w:rPr>
          <w:rFonts w:eastAsia="Calibri" w:cstheme="minorHAnsi"/>
          <w:sz w:val="20"/>
          <w:szCs w:val="20"/>
        </w:rPr>
        <w:t>En Acreedores Diversos, se encuentra acumulado un depósito no iden</w:t>
      </w:r>
      <w:r w:rsidR="008F02C0" w:rsidRPr="008F02C0">
        <w:rPr>
          <w:rFonts w:eastAsia="Calibri" w:cstheme="minorHAnsi"/>
          <w:sz w:val="20"/>
          <w:szCs w:val="20"/>
        </w:rPr>
        <w:t>tificado por el equipo</w:t>
      </w:r>
      <w:r w:rsidRPr="008F02C0">
        <w:rPr>
          <w:rFonts w:eastAsia="Calibri" w:cstheme="minorHAnsi"/>
          <w:sz w:val="20"/>
          <w:szCs w:val="20"/>
        </w:rPr>
        <w:t xml:space="preserve"> del FIDETURE y </w:t>
      </w:r>
      <w:r w:rsidR="008F02C0" w:rsidRPr="008F02C0">
        <w:rPr>
          <w:rFonts w:eastAsia="Calibri" w:cstheme="minorHAnsi"/>
          <w:sz w:val="20"/>
          <w:szCs w:val="20"/>
        </w:rPr>
        <w:t>no reclamado por alguno de nuestros clientes.</w:t>
      </w:r>
    </w:p>
    <w:p w:rsidR="00167EC4" w:rsidRDefault="00167EC4" w:rsidP="00A81CAB">
      <w:pPr>
        <w:rPr>
          <w:rFonts w:eastAsia="Calibri" w:cstheme="minorHAnsi"/>
          <w:b/>
          <w:sz w:val="20"/>
          <w:szCs w:val="20"/>
        </w:rPr>
      </w:pPr>
    </w:p>
    <w:p w:rsidR="00CA2AAA" w:rsidRDefault="0098122A" w:rsidP="00CA2AAA">
      <w:pPr>
        <w:rPr>
          <w:rFonts w:eastAsia="Calibri" w:cstheme="minorHAnsi"/>
          <w:b/>
          <w:sz w:val="20"/>
          <w:szCs w:val="20"/>
        </w:rPr>
      </w:pPr>
      <w:r>
        <w:rPr>
          <w:rFonts w:eastAsia="Calibri" w:cstheme="minorHAnsi"/>
          <w:b/>
          <w:sz w:val="20"/>
          <w:szCs w:val="20"/>
        </w:rPr>
        <w:lastRenderedPageBreak/>
        <w:t>1.2.2.1 Al 30 de junio</w:t>
      </w:r>
      <w:r w:rsidR="00ED53E9">
        <w:rPr>
          <w:rFonts w:eastAsia="Calibri" w:cstheme="minorHAnsi"/>
          <w:b/>
          <w:sz w:val="20"/>
          <w:szCs w:val="20"/>
        </w:rPr>
        <w:t xml:space="preserve"> de 2021</w:t>
      </w:r>
      <w:r w:rsidR="00CA2AAA">
        <w:rPr>
          <w:rFonts w:eastAsia="Calibri" w:cstheme="minorHAnsi"/>
          <w:b/>
          <w:sz w:val="20"/>
          <w:szCs w:val="20"/>
        </w:rPr>
        <w:t xml:space="preserve"> los Fondos de Bienes de Terceros en Administración y/o en Garantía a Corto y Largo Plazo se componen de la siguiente manera:</w:t>
      </w:r>
    </w:p>
    <w:p w:rsidR="00815B0E" w:rsidRDefault="00F349B7" w:rsidP="00642856">
      <w:pPr>
        <w:jc w:val="center"/>
        <w:rPr>
          <w:rFonts w:eastAsia="Calibri" w:cstheme="minorHAnsi"/>
          <w:b/>
          <w:sz w:val="20"/>
          <w:szCs w:val="20"/>
        </w:rPr>
      </w:pPr>
      <w:r w:rsidRPr="00F349B7">
        <w:rPr>
          <w:noProof/>
          <w:lang w:eastAsia="es-MX"/>
        </w:rPr>
        <w:drawing>
          <wp:inline distT="0" distB="0" distL="0" distR="0">
            <wp:extent cx="5612130" cy="36566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65663"/>
                    </a:xfrm>
                    <a:prstGeom prst="rect">
                      <a:avLst/>
                    </a:prstGeom>
                    <a:noFill/>
                    <a:ln>
                      <a:noFill/>
                    </a:ln>
                  </pic:spPr>
                </pic:pic>
              </a:graphicData>
            </a:graphic>
          </wp:inline>
        </w:drawing>
      </w:r>
    </w:p>
    <w:p w:rsidR="00F17D90" w:rsidRPr="00CA2AAA" w:rsidRDefault="008F02C0" w:rsidP="00CA2AAA">
      <w:pPr>
        <w:rPr>
          <w:rFonts w:eastAsia="Calibri" w:cstheme="minorHAnsi"/>
          <w:sz w:val="20"/>
          <w:szCs w:val="20"/>
        </w:rPr>
      </w:pPr>
      <w:r>
        <w:rPr>
          <w:rFonts w:eastAsia="Calibri" w:cstheme="minorHAnsi"/>
          <w:sz w:val="20"/>
          <w:szCs w:val="20"/>
        </w:rPr>
        <w:t>El saldo corresponde</w:t>
      </w:r>
      <w:r w:rsidR="00F17D90">
        <w:rPr>
          <w:rFonts w:eastAsia="Calibri" w:cstheme="minorHAnsi"/>
          <w:sz w:val="20"/>
          <w:szCs w:val="20"/>
        </w:rPr>
        <w:t xml:space="preserve"> a</w:t>
      </w:r>
      <w:r>
        <w:rPr>
          <w:rFonts w:eastAsia="Calibri" w:cstheme="minorHAnsi"/>
          <w:sz w:val="20"/>
          <w:szCs w:val="20"/>
        </w:rPr>
        <w:t xml:space="preserve"> un deposito realizado</w:t>
      </w:r>
      <w:r w:rsidR="00F17D90">
        <w:rPr>
          <w:rFonts w:eastAsia="Calibri" w:cstheme="minorHAnsi"/>
          <w:sz w:val="20"/>
          <w:szCs w:val="20"/>
        </w:rPr>
        <w:t xml:space="preserve"> de ma</w:t>
      </w:r>
      <w:r>
        <w:rPr>
          <w:rFonts w:eastAsia="Calibri" w:cstheme="minorHAnsi"/>
          <w:sz w:val="20"/>
          <w:szCs w:val="20"/>
        </w:rPr>
        <w:t>nera errónea y que se encuentra pendiente</w:t>
      </w:r>
      <w:r w:rsidR="005B3F43">
        <w:rPr>
          <w:rFonts w:eastAsia="Calibri" w:cstheme="minorHAnsi"/>
          <w:sz w:val="20"/>
          <w:szCs w:val="20"/>
        </w:rPr>
        <w:t xml:space="preserve"> de devolución.</w:t>
      </w:r>
    </w:p>
    <w:p w:rsidR="00875EBC" w:rsidRDefault="00875EBC" w:rsidP="00CA2AAA">
      <w:pPr>
        <w:rPr>
          <w:rFonts w:eastAsia="Calibri" w:cstheme="minorHAnsi"/>
          <w:b/>
          <w:sz w:val="20"/>
          <w:szCs w:val="20"/>
        </w:rPr>
      </w:pPr>
    </w:p>
    <w:p w:rsidR="00CA2AAA" w:rsidRDefault="00CA2AAA" w:rsidP="00CA2AAA">
      <w:pPr>
        <w:rPr>
          <w:rFonts w:eastAsia="Calibri" w:cstheme="minorHAnsi"/>
          <w:b/>
          <w:sz w:val="20"/>
          <w:szCs w:val="20"/>
        </w:rPr>
      </w:pPr>
      <w:r>
        <w:rPr>
          <w:rFonts w:eastAsia="Calibri" w:cstheme="minorHAnsi"/>
          <w:b/>
          <w:sz w:val="20"/>
          <w:szCs w:val="20"/>
        </w:rPr>
        <w:t>1.2.2.2 Los Pasivos Diferidos del Fideicomiso prese</w:t>
      </w:r>
      <w:r w:rsidR="00875EBC">
        <w:rPr>
          <w:rFonts w:eastAsia="Calibri" w:cstheme="minorHAnsi"/>
          <w:b/>
          <w:sz w:val="20"/>
          <w:szCs w:val="20"/>
        </w:rPr>
        <w:t>ntan los sigu</w:t>
      </w:r>
      <w:r w:rsidR="0098122A">
        <w:rPr>
          <w:rFonts w:eastAsia="Calibri" w:cstheme="minorHAnsi"/>
          <w:b/>
          <w:sz w:val="20"/>
          <w:szCs w:val="20"/>
        </w:rPr>
        <w:t>ientes saldos al 30</w:t>
      </w:r>
      <w:r w:rsidR="00ED53E9">
        <w:rPr>
          <w:rFonts w:eastAsia="Calibri" w:cstheme="minorHAnsi"/>
          <w:b/>
          <w:sz w:val="20"/>
          <w:szCs w:val="20"/>
        </w:rPr>
        <w:t xml:space="preserve"> d</w:t>
      </w:r>
      <w:r w:rsidR="0098122A">
        <w:rPr>
          <w:rFonts w:eastAsia="Calibri" w:cstheme="minorHAnsi"/>
          <w:b/>
          <w:sz w:val="20"/>
          <w:szCs w:val="20"/>
        </w:rPr>
        <w:t xml:space="preserve">e junio </w:t>
      </w:r>
      <w:r w:rsidR="00ED53E9">
        <w:rPr>
          <w:rFonts w:eastAsia="Calibri" w:cstheme="minorHAnsi"/>
          <w:b/>
          <w:sz w:val="20"/>
          <w:szCs w:val="20"/>
        </w:rPr>
        <w:t>de 2021</w:t>
      </w:r>
      <w:r>
        <w:rPr>
          <w:rFonts w:eastAsia="Calibri" w:cstheme="minorHAnsi"/>
          <w:b/>
          <w:sz w:val="20"/>
          <w:szCs w:val="20"/>
        </w:rPr>
        <w:t>:</w:t>
      </w:r>
    </w:p>
    <w:p w:rsidR="00CA2AAA" w:rsidRDefault="0098122A" w:rsidP="00CA2AAA">
      <w:pPr>
        <w:rPr>
          <w:rFonts w:eastAsia="Calibri" w:cstheme="minorHAnsi"/>
          <w:sz w:val="20"/>
          <w:szCs w:val="20"/>
        </w:rPr>
      </w:pPr>
      <w:r w:rsidRPr="0098122A">
        <w:drawing>
          <wp:inline distT="0" distB="0" distL="0" distR="0">
            <wp:extent cx="5612130" cy="1944902"/>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944902"/>
                    </a:xfrm>
                    <a:prstGeom prst="rect">
                      <a:avLst/>
                    </a:prstGeom>
                    <a:noFill/>
                    <a:ln>
                      <a:noFill/>
                    </a:ln>
                  </pic:spPr>
                </pic:pic>
              </a:graphicData>
            </a:graphic>
          </wp:inline>
        </w:drawing>
      </w:r>
    </w:p>
    <w:p w:rsidR="005A4593" w:rsidRPr="00A81CC6" w:rsidRDefault="000A6234" w:rsidP="00A81CC6">
      <w:pPr>
        <w:rPr>
          <w:rFonts w:eastAsia="Calibri" w:cstheme="minorHAnsi"/>
          <w:sz w:val="20"/>
          <w:szCs w:val="20"/>
        </w:rPr>
      </w:pPr>
      <w:r>
        <w:rPr>
          <w:rFonts w:eastAsia="Calibri" w:cstheme="minorHAnsi"/>
          <w:sz w:val="20"/>
          <w:szCs w:val="20"/>
        </w:rPr>
        <w:t>En Anticipos Diversos del Sector Privado se encuentran contenidos aquellos pagos realizados por eventos que serán realizados en el Centro Internacional de Congresos de Yucatán</w:t>
      </w:r>
      <w:r w:rsidR="00A81CC6">
        <w:rPr>
          <w:rFonts w:eastAsia="Calibri" w:cstheme="minorHAnsi"/>
          <w:sz w:val="20"/>
          <w:szCs w:val="20"/>
        </w:rPr>
        <w:t>, muchos de los cuales se llevarían a cabo en 2020, sin embargo, debido a la Pandemia producida por el virus del SARS-COV-2, se han aplazado para</w:t>
      </w:r>
      <w:r w:rsidR="00ED53E9">
        <w:rPr>
          <w:rFonts w:eastAsia="Calibri" w:cstheme="minorHAnsi"/>
          <w:sz w:val="20"/>
          <w:szCs w:val="20"/>
        </w:rPr>
        <w:t xml:space="preserve"> el presente año 2021 y </w:t>
      </w:r>
      <w:r w:rsidR="00A81CC6">
        <w:rPr>
          <w:rFonts w:eastAsia="Calibri" w:cstheme="minorHAnsi"/>
          <w:sz w:val="20"/>
          <w:szCs w:val="20"/>
        </w:rPr>
        <w:t>posteriores.</w:t>
      </w:r>
    </w:p>
    <w:p w:rsidR="00A92E56" w:rsidRDefault="00A92E56" w:rsidP="000F1626">
      <w:pPr>
        <w:jc w:val="both"/>
        <w:rPr>
          <w:rFonts w:eastAsia="Calibri" w:cstheme="minorHAnsi"/>
          <w:b/>
          <w:sz w:val="20"/>
          <w:szCs w:val="20"/>
        </w:rPr>
      </w:pPr>
    </w:p>
    <w:p w:rsidR="005578E4" w:rsidRDefault="00711265" w:rsidP="000F1626">
      <w:pPr>
        <w:jc w:val="both"/>
        <w:rPr>
          <w:rFonts w:eastAsia="Calibri" w:cstheme="minorHAnsi"/>
          <w:b/>
          <w:sz w:val="20"/>
          <w:szCs w:val="20"/>
        </w:rPr>
      </w:pPr>
      <w:r w:rsidRPr="00522D65">
        <w:rPr>
          <w:rFonts w:eastAsia="Calibri" w:cstheme="minorHAnsi"/>
          <w:b/>
          <w:sz w:val="20"/>
          <w:szCs w:val="20"/>
        </w:rPr>
        <w:t>2</w:t>
      </w:r>
      <w:r w:rsidR="000F1626" w:rsidRPr="00522D65">
        <w:rPr>
          <w:rFonts w:eastAsia="Calibri" w:cstheme="minorHAnsi"/>
          <w:b/>
          <w:sz w:val="20"/>
          <w:szCs w:val="20"/>
        </w:rPr>
        <w:t>) NOTAS AL ESTADO DE ACTIVIDADES</w:t>
      </w:r>
    </w:p>
    <w:p w:rsidR="005578E4" w:rsidRDefault="00711265" w:rsidP="000F1626">
      <w:pPr>
        <w:jc w:val="both"/>
        <w:rPr>
          <w:rFonts w:eastAsia="Calibri" w:cstheme="minorHAnsi"/>
          <w:b/>
          <w:sz w:val="20"/>
          <w:szCs w:val="20"/>
        </w:rPr>
      </w:pPr>
      <w:r w:rsidRPr="00522D65">
        <w:rPr>
          <w:rFonts w:eastAsia="Calibri" w:cstheme="minorHAnsi"/>
          <w:b/>
          <w:sz w:val="20"/>
          <w:szCs w:val="20"/>
        </w:rPr>
        <w:t xml:space="preserve">2.1 </w:t>
      </w:r>
      <w:r w:rsidR="000F1626" w:rsidRPr="00522D65">
        <w:rPr>
          <w:rFonts w:eastAsia="Calibri" w:cstheme="minorHAnsi"/>
          <w:b/>
          <w:sz w:val="20"/>
          <w:szCs w:val="20"/>
        </w:rPr>
        <w:t>Ingresos de Gestión</w:t>
      </w:r>
    </w:p>
    <w:p w:rsidR="00711265" w:rsidRDefault="00711265" w:rsidP="000F1626">
      <w:pPr>
        <w:jc w:val="both"/>
        <w:rPr>
          <w:rFonts w:eastAsia="Calibri" w:cstheme="minorHAnsi"/>
          <w:sz w:val="20"/>
          <w:szCs w:val="20"/>
        </w:rPr>
      </w:pPr>
      <w:r w:rsidRPr="00522D65">
        <w:rPr>
          <w:rFonts w:eastAsia="Calibri" w:cstheme="minorHAnsi"/>
          <w:b/>
          <w:sz w:val="20"/>
          <w:szCs w:val="20"/>
        </w:rPr>
        <w:t>2.</w:t>
      </w:r>
      <w:r w:rsidR="000F1626" w:rsidRPr="00522D65">
        <w:rPr>
          <w:rFonts w:eastAsia="Calibri" w:cstheme="minorHAnsi"/>
          <w:b/>
          <w:sz w:val="20"/>
          <w:szCs w:val="20"/>
        </w:rPr>
        <w:t>1.</w:t>
      </w:r>
      <w:r w:rsidRPr="00522D65">
        <w:rPr>
          <w:rFonts w:eastAsia="Calibri" w:cstheme="minorHAnsi"/>
          <w:b/>
          <w:sz w:val="20"/>
          <w:szCs w:val="20"/>
        </w:rPr>
        <w:t xml:space="preserve">1 </w:t>
      </w:r>
      <w:r w:rsidRPr="00522D65">
        <w:rPr>
          <w:rFonts w:eastAsia="Calibri" w:cstheme="minorHAnsi"/>
          <w:sz w:val="20"/>
          <w:szCs w:val="20"/>
        </w:rPr>
        <w:t>Lo</w:t>
      </w:r>
      <w:r w:rsidR="009763FF">
        <w:rPr>
          <w:rFonts w:eastAsia="Calibri" w:cstheme="minorHAnsi"/>
          <w:sz w:val="20"/>
          <w:szCs w:val="20"/>
        </w:rPr>
        <w:t>s ingresos del Fideicom</w:t>
      </w:r>
      <w:r w:rsidR="0098122A">
        <w:rPr>
          <w:rFonts w:eastAsia="Calibri" w:cstheme="minorHAnsi"/>
          <w:sz w:val="20"/>
          <w:szCs w:val="20"/>
        </w:rPr>
        <w:t>iso al 30 de junio</w:t>
      </w:r>
      <w:r w:rsidR="00A81CC6">
        <w:rPr>
          <w:rFonts w:eastAsia="Calibri" w:cstheme="minorHAnsi"/>
          <w:sz w:val="20"/>
          <w:szCs w:val="20"/>
        </w:rPr>
        <w:t xml:space="preserve"> </w:t>
      </w:r>
      <w:r w:rsidR="005D01BD">
        <w:rPr>
          <w:rFonts w:eastAsia="Calibri" w:cstheme="minorHAnsi"/>
          <w:sz w:val="20"/>
          <w:szCs w:val="20"/>
        </w:rPr>
        <w:t>de 2021</w:t>
      </w:r>
      <w:r w:rsidRPr="00522D65">
        <w:rPr>
          <w:rFonts w:eastAsia="Calibri" w:cstheme="minorHAnsi"/>
          <w:sz w:val="20"/>
          <w:szCs w:val="20"/>
        </w:rPr>
        <w:t xml:space="preserve"> se componen de la siguiente forma:</w:t>
      </w:r>
    </w:p>
    <w:p w:rsidR="00711265" w:rsidRPr="00522D65" w:rsidRDefault="0098122A" w:rsidP="00714C49">
      <w:pPr>
        <w:jc w:val="center"/>
        <w:rPr>
          <w:rFonts w:eastAsia="Calibri" w:cstheme="minorHAnsi"/>
          <w:b/>
          <w:sz w:val="20"/>
          <w:szCs w:val="20"/>
        </w:rPr>
      </w:pPr>
      <w:r w:rsidRPr="0098122A">
        <w:drawing>
          <wp:inline distT="0" distB="0" distL="0" distR="0">
            <wp:extent cx="4810125" cy="67627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0125" cy="676275"/>
                    </a:xfrm>
                    <a:prstGeom prst="rect">
                      <a:avLst/>
                    </a:prstGeom>
                    <a:noFill/>
                    <a:ln>
                      <a:noFill/>
                    </a:ln>
                  </pic:spPr>
                </pic:pic>
              </a:graphicData>
            </a:graphic>
          </wp:inline>
        </w:drawing>
      </w:r>
    </w:p>
    <w:p w:rsidR="00C424A2" w:rsidRDefault="00C424A2" w:rsidP="00225696">
      <w:pPr>
        <w:rPr>
          <w:rFonts w:eastAsia="Calibri" w:cstheme="minorHAnsi"/>
          <w:b/>
          <w:sz w:val="20"/>
          <w:szCs w:val="20"/>
        </w:rPr>
      </w:pPr>
    </w:p>
    <w:p w:rsidR="00EF4112" w:rsidRDefault="009D2F00" w:rsidP="00225696">
      <w:pPr>
        <w:rPr>
          <w:rFonts w:eastAsia="Calibri" w:cstheme="minorHAnsi"/>
          <w:b/>
          <w:sz w:val="20"/>
          <w:szCs w:val="20"/>
        </w:rPr>
      </w:pPr>
      <w:r w:rsidRPr="00522D65">
        <w:rPr>
          <w:rFonts w:eastAsia="Calibri" w:cstheme="minorHAnsi"/>
          <w:b/>
          <w:sz w:val="20"/>
          <w:szCs w:val="20"/>
        </w:rPr>
        <w:t>2.1.1.1</w:t>
      </w:r>
      <w:r w:rsidR="00DA1B0F" w:rsidRPr="00522D65">
        <w:rPr>
          <w:rFonts w:eastAsia="Calibri" w:cstheme="minorHAnsi"/>
          <w:b/>
          <w:sz w:val="20"/>
          <w:szCs w:val="20"/>
        </w:rPr>
        <w:t xml:space="preserve"> </w:t>
      </w:r>
      <w:r w:rsidR="001C0C5D">
        <w:rPr>
          <w:rFonts w:eastAsia="Calibri" w:cstheme="minorHAnsi"/>
          <w:b/>
          <w:sz w:val="20"/>
          <w:szCs w:val="20"/>
        </w:rPr>
        <w:t>En la cuenta de Ingresos por Venta de Bienes y Servicios se acumulan los ingresos por la renta de salones</w:t>
      </w:r>
      <w:r w:rsidR="00B06FE9">
        <w:rPr>
          <w:rFonts w:eastAsia="Calibri" w:cstheme="minorHAnsi"/>
          <w:b/>
          <w:sz w:val="20"/>
          <w:szCs w:val="20"/>
        </w:rPr>
        <w:t xml:space="preserve"> y servicios conexos brindados por el</w:t>
      </w:r>
      <w:r w:rsidR="001C0C5D">
        <w:rPr>
          <w:rFonts w:eastAsia="Calibri" w:cstheme="minorHAnsi"/>
          <w:b/>
          <w:sz w:val="20"/>
          <w:szCs w:val="20"/>
        </w:rPr>
        <w:t xml:space="preserve"> Centro Internacional de Congresos de Yucatán </w:t>
      </w:r>
      <w:proofErr w:type="spellStart"/>
      <w:r w:rsidR="001C0C5D">
        <w:rPr>
          <w:rFonts w:eastAsia="Calibri" w:cstheme="minorHAnsi"/>
          <w:b/>
          <w:sz w:val="20"/>
          <w:szCs w:val="20"/>
        </w:rPr>
        <w:t>powered</w:t>
      </w:r>
      <w:proofErr w:type="spellEnd"/>
      <w:r w:rsidR="001C0C5D">
        <w:rPr>
          <w:rFonts w:eastAsia="Calibri" w:cstheme="minorHAnsi"/>
          <w:b/>
          <w:sz w:val="20"/>
          <w:szCs w:val="20"/>
        </w:rPr>
        <w:t xml:space="preserve"> </w:t>
      </w:r>
      <w:proofErr w:type="spellStart"/>
      <w:r w:rsidR="001C0C5D">
        <w:rPr>
          <w:rFonts w:eastAsia="Calibri" w:cstheme="minorHAnsi"/>
          <w:b/>
          <w:sz w:val="20"/>
          <w:szCs w:val="20"/>
        </w:rPr>
        <w:t>by</w:t>
      </w:r>
      <w:proofErr w:type="spellEnd"/>
      <w:r w:rsidR="001C0C5D">
        <w:rPr>
          <w:rFonts w:eastAsia="Calibri" w:cstheme="minorHAnsi"/>
          <w:b/>
          <w:sz w:val="20"/>
          <w:szCs w:val="20"/>
        </w:rPr>
        <w:t xml:space="preserve"> Samsung cobrados en efectivo, cheq</w:t>
      </w:r>
      <w:r w:rsidR="00714C49">
        <w:rPr>
          <w:rFonts w:eastAsia="Calibri" w:cstheme="minorHAnsi"/>
          <w:b/>
          <w:sz w:val="20"/>
          <w:szCs w:val="20"/>
        </w:rPr>
        <w:t>u</w:t>
      </w:r>
      <w:r w:rsidR="00B51C05">
        <w:rPr>
          <w:rFonts w:eastAsia="Calibri" w:cstheme="minorHAnsi"/>
          <w:b/>
          <w:sz w:val="20"/>
          <w:szCs w:val="20"/>
        </w:rPr>
        <w:t>e</w:t>
      </w:r>
      <w:r w:rsidR="005535CD">
        <w:rPr>
          <w:rFonts w:eastAsia="Calibri" w:cstheme="minorHAnsi"/>
          <w:b/>
          <w:sz w:val="20"/>
          <w:szCs w:val="20"/>
        </w:rPr>
        <w:t xml:space="preserve">, </w:t>
      </w:r>
      <w:r w:rsidR="00B51C05">
        <w:rPr>
          <w:rFonts w:eastAsia="Calibri" w:cstheme="minorHAnsi"/>
          <w:b/>
          <w:sz w:val="20"/>
          <w:szCs w:val="20"/>
        </w:rPr>
        <w:t>t</w:t>
      </w:r>
      <w:r w:rsidR="005535CD">
        <w:rPr>
          <w:rFonts w:eastAsia="Calibri" w:cstheme="minorHAnsi"/>
          <w:b/>
          <w:sz w:val="20"/>
          <w:szCs w:val="20"/>
        </w:rPr>
        <w:t xml:space="preserve">ransferencia, tarjeta de débito o crédito (Visa, </w:t>
      </w:r>
      <w:proofErr w:type="spellStart"/>
      <w:r w:rsidR="005535CD">
        <w:rPr>
          <w:rFonts w:eastAsia="Calibri" w:cstheme="minorHAnsi"/>
          <w:b/>
          <w:sz w:val="20"/>
          <w:szCs w:val="20"/>
        </w:rPr>
        <w:t>Master</w:t>
      </w:r>
      <w:r w:rsidR="008C701B">
        <w:rPr>
          <w:rFonts w:eastAsia="Calibri" w:cstheme="minorHAnsi"/>
          <w:b/>
          <w:sz w:val="20"/>
          <w:szCs w:val="20"/>
        </w:rPr>
        <w:t>card</w:t>
      </w:r>
      <w:proofErr w:type="spellEnd"/>
      <w:r w:rsidR="008C701B">
        <w:rPr>
          <w:rFonts w:eastAsia="Calibri" w:cstheme="minorHAnsi"/>
          <w:b/>
          <w:sz w:val="20"/>
          <w:szCs w:val="20"/>
        </w:rPr>
        <w:t xml:space="preserve"> y/o Amer</w:t>
      </w:r>
      <w:r w:rsidR="008A2A5E">
        <w:rPr>
          <w:rFonts w:eastAsia="Calibri" w:cstheme="minorHAnsi"/>
          <w:b/>
          <w:sz w:val="20"/>
          <w:szCs w:val="20"/>
        </w:rPr>
        <w:t>ican Ex</w:t>
      </w:r>
      <w:r w:rsidR="00A857BF">
        <w:rPr>
          <w:rFonts w:eastAsia="Calibri" w:cstheme="minorHAnsi"/>
          <w:b/>
          <w:sz w:val="20"/>
          <w:szCs w:val="20"/>
        </w:rPr>
        <w:t>press) al 31 de mayo</w:t>
      </w:r>
      <w:r w:rsidR="001C0C5D">
        <w:rPr>
          <w:rFonts w:eastAsia="Calibri" w:cstheme="minorHAnsi"/>
          <w:b/>
          <w:sz w:val="20"/>
          <w:szCs w:val="20"/>
        </w:rPr>
        <w:t xml:space="preserve"> de</w:t>
      </w:r>
      <w:r w:rsidR="000804A3">
        <w:rPr>
          <w:rFonts w:eastAsia="Calibri" w:cstheme="minorHAnsi"/>
          <w:b/>
          <w:sz w:val="20"/>
          <w:szCs w:val="20"/>
        </w:rPr>
        <w:t xml:space="preserve"> 2021</w:t>
      </w:r>
      <w:r w:rsidR="00807423">
        <w:rPr>
          <w:rFonts w:eastAsia="Calibri" w:cstheme="minorHAnsi"/>
          <w:b/>
          <w:sz w:val="20"/>
          <w:szCs w:val="20"/>
        </w:rPr>
        <w:t xml:space="preserve">. </w:t>
      </w:r>
    </w:p>
    <w:p w:rsidR="005535CD" w:rsidRDefault="005535CD" w:rsidP="00225696">
      <w:pPr>
        <w:rPr>
          <w:rFonts w:eastAsia="Calibri" w:cstheme="minorHAnsi"/>
          <w:b/>
          <w:sz w:val="20"/>
          <w:szCs w:val="20"/>
        </w:rPr>
      </w:pPr>
    </w:p>
    <w:p w:rsidR="001C0C5D" w:rsidRDefault="001C0C5D" w:rsidP="00225696">
      <w:pPr>
        <w:rPr>
          <w:rFonts w:eastAsia="Calibri" w:cstheme="minorHAnsi"/>
          <w:b/>
          <w:sz w:val="20"/>
          <w:szCs w:val="20"/>
        </w:rPr>
      </w:pPr>
      <w:r>
        <w:rPr>
          <w:rFonts w:eastAsia="Calibri" w:cstheme="minorHAnsi"/>
          <w:b/>
          <w:sz w:val="20"/>
          <w:szCs w:val="20"/>
        </w:rPr>
        <w:t>2.1.1.2 La cuenta d</w:t>
      </w:r>
      <w:r w:rsidR="00B14E56">
        <w:rPr>
          <w:rFonts w:eastAsia="Calibri" w:cstheme="minorHAnsi"/>
          <w:b/>
          <w:sz w:val="20"/>
          <w:szCs w:val="20"/>
        </w:rPr>
        <w:t>e transferencias</w:t>
      </w:r>
      <w:r w:rsidR="00A81CC6">
        <w:rPr>
          <w:rFonts w:eastAsia="Calibri" w:cstheme="minorHAnsi"/>
          <w:b/>
          <w:sz w:val="20"/>
          <w:szCs w:val="20"/>
        </w:rPr>
        <w:t xml:space="preserve"> y subsidios</w:t>
      </w:r>
      <w:r w:rsidR="00B14E56">
        <w:rPr>
          <w:rFonts w:eastAsia="Calibri" w:cstheme="minorHAnsi"/>
          <w:b/>
          <w:sz w:val="20"/>
          <w:szCs w:val="20"/>
        </w:rPr>
        <w:t xml:space="preserve"> se compone de </w:t>
      </w:r>
      <w:r w:rsidR="008A2A5E">
        <w:rPr>
          <w:rFonts w:eastAsia="Calibri" w:cstheme="minorHAnsi"/>
          <w:b/>
          <w:sz w:val="20"/>
          <w:szCs w:val="20"/>
        </w:rPr>
        <w:t>la recaudación del Impuesto sobre Hospedaje</w:t>
      </w:r>
      <w:r w:rsidR="00A81CC6">
        <w:rPr>
          <w:rFonts w:eastAsia="Calibri" w:cstheme="minorHAnsi"/>
          <w:b/>
          <w:sz w:val="20"/>
          <w:szCs w:val="20"/>
        </w:rPr>
        <w:t>, así como el Subsidio brindado por la Secretaría de Administración y</w:t>
      </w:r>
      <w:r w:rsidR="000804A3">
        <w:rPr>
          <w:rFonts w:eastAsia="Calibri" w:cstheme="minorHAnsi"/>
          <w:b/>
          <w:sz w:val="20"/>
          <w:szCs w:val="20"/>
        </w:rPr>
        <w:t xml:space="preserve"> Finanzas</w:t>
      </w:r>
      <w:r w:rsidR="008A2A5E">
        <w:rPr>
          <w:rFonts w:eastAsia="Calibri" w:cstheme="minorHAnsi"/>
          <w:b/>
          <w:sz w:val="20"/>
          <w:szCs w:val="20"/>
        </w:rPr>
        <w:t>.</w:t>
      </w:r>
    </w:p>
    <w:p w:rsidR="00371562" w:rsidRDefault="00371562" w:rsidP="00B06FE9">
      <w:pPr>
        <w:jc w:val="center"/>
        <w:rPr>
          <w:rFonts w:eastAsia="Calibri" w:cstheme="minorHAnsi"/>
          <w:b/>
          <w:sz w:val="20"/>
          <w:szCs w:val="20"/>
        </w:rPr>
      </w:pPr>
    </w:p>
    <w:p w:rsidR="000F1626" w:rsidRDefault="001C0C5D" w:rsidP="00225696">
      <w:pPr>
        <w:rPr>
          <w:rFonts w:eastAsia="Calibri" w:cstheme="minorHAnsi"/>
          <w:sz w:val="20"/>
          <w:szCs w:val="20"/>
        </w:rPr>
      </w:pPr>
      <w:r>
        <w:rPr>
          <w:rFonts w:eastAsia="Calibri" w:cstheme="minorHAnsi"/>
          <w:b/>
          <w:sz w:val="20"/>
          <w:szCs w:val="20"/>
        </w:rPr>
        <w:t xml:space="preserve">2.1.1.3 </w:t>
      </w:r>
      <w:r w:rsidR="00DA1B0F" w:rsidRPr="00522D65">
        <w:rPr>
          <w:rFonts w:eastAsia="Calibri" w:cstheme="minorHAnsi"/>
          <w:sz w:val="20"/>
          <w:szCs w:val="20"/>
        </w:rPr>
        <w:t>En l</w:t>
      </w:r>
      <w:r w:rsidR="008D517F">
        <w:rPr>
          <w:rFonts w:eastAsia="Calibri" w:cstheme="minorHAnsi"/>
          <w:sz w:val="20"/>
          <w:szCs w:val="20"/>
        </w:rPr>
        <w:t>a cuenta de Productos</w:t>
      </w:r>
      <w:r w:rsidR="00DA1B0F" w:rsidRPr="00522D65">
        <w:rPr>
          <w:rFonts w:eastAsia="Calibri" w:cstheme="minorHAnsi"/>
          <w:sz w:val="20"/>
          <w:szCs w:val="20"/>
        </w:rPr>
        <w:t xml:space="preserve"> se acumulan los rendimientos generados e</w:t>
      </w:r>
      <w:r w:rsidR="00734359">
        <w:rPr>
          <w:rFonts w:eastAsia="Calibri" w:cstheme="minorHAnsi"/>
          <w:sz w:val="20"/>
          <w:szCs w:val="20"/>
        </w:rPr>
        <w:t>n las di</w:t>
      </w:r>
      <w:r w:rsidR="008A2A5E">
        <w:rPr>
          <w:rFonts w:eastAsia="Calibri" w:cstheme="minorHAnsi"/>
          <w:sz w:val="20"/>
          <w:szCs w:val="20"/>
        </w:rPr>
        <w:t>stintas cuentas de inversión.</w:t>
      </w:r>
    </w:p>
    <w:p w:rsidR="005578E4" w:rsidRPr="00642856" w:rsidRDefault="005578E4" w:rsidP="00A81CC6">
      <w:pPr>
        <w:rPr>
          <w:rFonts w:eastAsia="Calibri" w:cstheme="minorHAnsi"/>
          <w:sz w:val="20"/>
          <w:szCs w:val="20"/>
        </w:rPr>
      </w:pPr>
    </w:p>
    <w:p w:rsidR="000F1626" w:rsidRPr="00522D65" w:rsidRDefault="00225696" w:rsidP="000F1626">
      <w:pPr>
        <w:jc w:val="both"/>
        <w:rPr>
          <w:rFonts w:eastAsia="Calibri" w:cstheme="minorHAnsi"/>
          <w:b/>
          <w:sz w:val="20"/>
          <w:szCs w:val="20"/>
        </w:rPr>
      </w:pPr>
      <w:r w:rsidRPr="00522D65">
        <w:rPr>
          <w:rFonts w:eastAsia="Calibri" w:cstheme="minorHAnsi"/>
          <w:b/>
          <w:sz w:val="20"/>
          <w:szCs w:val="20"/>
        </w:rPr>
        <w:t>2.2 Gastos y Otras Pérdidas</w:t>
      </w:r>
    </w:p>
    <w:p w:rsidR="00C424A2" w:rsidRDefault="00C424A2" w:rsidP="00734359">
      <w:pPr>
        <w:pStyle w:val="Prrafodelista"/>
        <w:tabs>
          <w:tab w:val="left" w:pos="426"/>
        </w:tabs>
        <w:ind w:left="0"/>
        <w:rPr>
          <w:rFonts w:ascii="Calibri" w:hAnsi="Calibri"/>
          <w:b/>
          <w:sz w:val="20"/>
          <w:szCs w:val="20"/>
        </w:rPr>
      </w:pPr>
    </w:p>
    <w:p w:rsidR="00734359" w:rsidRPr="00853E3D" w:rsidRDefault="00734359" w:rsidP="00734359">
      <w:pPr>
        <w:pStyle w:val="Prrafodelista"/>
        <w:tabs>
          <w:tab w:val="left" w:pos="426"/>
        </w:tabs>
        <w:ind w:left="0"/>
        <w:rPr>
          <w:rFonts w:ascii="Calibri" w:hAnsi="Calibri"/>
          <w:b/>
          <w:sz w:val="20"/>
          <w:szCs w:val="20"/>
        </w:rPr>
      </w:pPr>
      <w:r>
        <w:rPr>
          <w:rFonts w:ascii="Calibri" w:hAnsi="Calibri"/>
          <w:b/>
          <w:sz w:val="20"/>
          <w:szCs w:val="20"/>
        </w:rPr>
        <w:t>2.2.1 Gastos de Funcionamiento.</w:t>
      </w:r>
    </w:p>
    <w:p w:rsidR="008F51DD" w:rsidRDefault="00734359" w:rsidP="00C33A7A">
      <w:pPr>
        <w:jc w:val="both"/>
        <w:rPr>
          <w:rFonts w:eastAsia="Calibri" w:cstheme="minorHAnsi"/>
          <w:sz w:val="20"/>
          <w:szCs w:val="20"/>
        </w:rPr>
      </w:pPr>
      <w:r>
        <w:rPr>
          <w:rFonts w:eastAsia="Calibri" w:cstheme="minorHAnsi"/>
          <w:sz w:val="20"/>
          <w:szCs w:val="20"/>
        </w:rPr>
        <w:t>El gasto realizado por el Fideicomiso derivado de sus actividades de comercialización y promoción del turismo de reuniones se conforma de l</w:t>
      </w:r>
      <w:r w:rsidR="005A3692">
        <w:rPr>
          <w:rFonts w:eastAsia="Calibri" w:cstheme="minorHAnsi"/>
          <w:sz w:val="20"/>
          <w:szCs w:val="20"/>
        </w:rPr>
        <w:t xml:space="preserve">a siguiente forma, al </w:t>
      </w:r>
      <w:r w:rsidR="0098122A">
        <w:rPr>
          <w:rFonts w:eastAsia="Calibri" w:cstheme="minorHAnsi"/>
          <w:sz w:val="20"/>
          <w:szCs w:val="20"/>
        </w:rPr>
        <w:t>30</w:t>
      </w:r>
      <w:r w:rsidR="00AD20FD">
        <w:rPr>
          <w:rFonts w:eastAsia="Calibri" w:cstheme="minorHAnsi"/>
          <w:sz w:val="20"/>
          <w:szCs w:val="20"/>
        </w:rPr>
        <w:t xml:space="preserve"> </w:t>
      </w:r>
      <w:r w:rsidR="0098122A">
        <w:rPr>
          <w:rFonts w:eastAsia="Calibri" w:cstheme="minorHAnsi"/>
          <w:sz w:val="20"/>
          <w:szCs w:val="20"/>
        </w:rPr>
        <w:t>de junio</w:t>
      </w:r>
      <w:r w:rsidR="000804A3">
        <w:rPr>
          <w:rFonts w:eastAsia="Calibri" w:cstheme="minorHAnsi"/>
          <w:sz w:val="20"/>
          <w:szCs w:val="20"/>
        </w:rPr>
        <w:t xml:space="preserve"> de 2021</w:t>
      </w:r>
      <w:r>
        <w:rPr>
          <w:rFonts w:eastAsia="Calibri" w:cstheme="minorHAnsi"/>
          <w:sz w:val="20"/>
          <w:szCs w:val="20"/>
        </w:rPr>
        <w:t>:</w:t>
      </w:r>
    </w:p>
    <w:p w:rsidR="00C424A2" w:rsidRDefault="00D87B56" w:rsidP="009A0043">
      <w:pPr>
        <w:jc w:val="center"/>
        <w:rPr>
          <w:rFonts w:eastAsia="Calibri" w:cstheme="minorHAnsi"/>
          <w:sz w:val="20"/>
          <w:szCs w:val="20"/>
        </w:rPr>
      </w:pPr>
      <w:r w:rsidRPr="00D87B56">
        <w:drawing>
          <wp:inline distT="0" distB="0" distL="0" distR="0">
            <wp:extent cx="3781425" cy="67627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676275"/>
                    </a:xfrm>
                    <a:prstGeom prst="rect">
                      <a:avLst/>
                    </a:prstGeom>
                    <a:noFill/>
                    <a:ln>
                      <a:noFill/>
                    </a:ln>
                  </pic:spPr>
                </pic:pic>
              </a:graphicData>
            </a:graphic>
          </wp:inline>
        </w:drawing>
      </w:r>
    </w:p>
    <w:p w:rsidR="008E6A53" w:rsidRDefault="00A92E56" w:rsidP="00C33A7A">
      <w:pPr>
        <w:jc w:val="both"/>
        <w:rPr>
          <w:rFonts w:eastAsia="Calibri" w:cstheme="minorHAnsi"/>
          <w:sz w:val="20"/>
          <w:szCs w:val="20"/>
        </w:rPr>
      </w:pPr>
      <w:r>
        <w:rPr>
          <w:rFonts w:eastAsia="Calibri" w:cstheme="minorHAnsi"/>
          <w:sz w:val="20"/>
          <w:szCs w:val="20"/>
        </w:rPr>
        <w:t>El 41</w:t>
      </w:r>
      <w:r w:rsidR="008E6A53">
        <w:rPr>
          <w:rFonts w:eastAsia="Calibri" w:cstheme="minorHAnsi"/>
          <w:sz w:val="20"/>
          <w:szCs w:val="20"/>
        </w:rPr>
        <w:t xml:space="preserve">% de los gastos del Fideicomiso se encuentran contenidos en el rubro de Servicios Generales, entre </w:t>
      </w:r>
      <w:r w:rsidR="000A6234">
        <w:rPr>
          <w:rFonts w:eastAsia="Calibri" w:cstheme="minorHAnsi"/>
          <w:sz w:val="20"/>
          <w:szCs w:val="20"/>
        </w:rPr>
        <w:t xml:space="preserve">los cuales se posicionan egresos como la Energía Eléctrica y los distintos mantenimientos que requieren los bienes </w:t>
      </w:r>
      <w:r w:rsidR="007402A0">
        <w:rPr>
          <w:rFonts w:eastAsia="Calibri" w:cstheme="minorHAnsi"/>
          <w:sz w:val="20"/>
          <w:szCs w:val="20"/>
        </w:rPr>
        <w:t>muebles e inmueble del FIDETURE.</w:t>
      </w:r>
    </w:p>
    <w:p w:rsidR="000A6234" w:rsidRDefault="00C81256" w:rsidP="00C33A7A">
      <w:pPr>
        <w:jc w:val="both"/>
        <w:rPr>
          <w:rFonts w:eastAsia="Calibri" w:cstheme="minorHAnsi"/>
          <w:sz w:val="20"/>
          <w:szCs w:val="20"/>
        </w:rPr>
      </w:pPr>
      <w:r>
        <w:rPr>
          <w:rFonts w:eastAsia="Calibri" w:cstheme="minorHAnsi"/>
          <w:sz w:val="20"/>
          <w:szCs w:val="20"/>
        </w:rPr>
        <w:t>Posterior</w:t>
      </w:r>
      <w:r w:rsidR="00A92E56">
        <w:rPr>
          <w:rFonts w:eastAsia="Calibri" w:cstheme="minorHAnsi"/>
          <w:sz w:val="20"/>
          <w:szCs w:val="20"/>
        </w:rPr>
        <w:t>mente, el 58</w:t>
      </w:r>
      <w:r w:rsidR="000A6234">
        <w:rPr>
          <w:rFonts w:eastAsia="Calibri" w:cstheme="minorHAnsi"/>
          <w:sz w:val="20"/>
          <w:szCs w:val="20"/>
        </w:rPr>
        <w:t>% de los gastos de funcionamientos se ubican en el Capítulo de Servicios Personales, en donde se registran los sueldos y accesorios de los empleados pertenecientes al Fideicomiso.</w:t>
      </w:r>
    </w:p>
    <w:p w:rsidR="005578E4" w:rsidRDefault="005578E4" w:rsidP="000F1626">
      <w:pPr>
        <w:jc w:val="both"/>
        <w:rPr>
          <w:rFonts w:eastAsia="Calibri" w:cstheme="minorHAnsi"/>
          <w:b/>
          <w:sz w:val="20"/>
          <w:szCs w:val="20"/>
        </w:rPr>
      </w:pPr>
    </w:p>
    <w:p w:rsidR="000F1626" w:rsidRPr="00522D65" w:rsidRDefault="00225696" w:rsidP="000F1626">
      <w:pPr>
        <w:jc w:val="both"/>
        <w:rPr>
          <w:rFonts w:eastAsia="Calibri" w:cstheme="minorHAnsi"/>
          <w:b/>
          <w:sz w:val="20"/>
          <w:szCs w:val="20"/>
        </w:rPr>
      </w:pPr>
      <w:r w:rsidRPr="00522D65">
        <w:rPr>
          <w:rFonts w:eastAsia="Calibri" w:cstheme="minorHAnsi"/>
          <w:b/>
          <w:sz w:val="20"/>
          <w:szCs w:val="20"/>
        </w:rPr>
        <w:t>3</w:t>
      </w:r>
      <w:r w:rsidR="000F1626" w:rsidRPr="00522D65">
        <w:rPr>
          <w:rFonts w:eastAsia="Calibri" w:cstheme="minorHAnsi"/>
          <w:b/>
          <w:sz w:val="20"/>
          <w:szCs w:val="20"/>
        </w:rPr>
        <w:t>) NOTAS AL ESTADO DE VARIACIÓN EN LA HACIENDA PÚBLICA</w:t>
      </w:r>
    </w:p>
    <w:p w:rsidR="008F51DD" w:rsidRDefault="00225696" w:rsidP="000F1626">
      <w:pPr>
        <w:jc w:val="both"/>
        <w:rPr>
          <w:rFonts w:eastAsia="Calibri" w:cstheme="minorHAnsi"/>
          <w:sz w:val="20"/>
          <w:szCs w:val="20"/>
        </w:rPr>
      </w:pPr>
      <w:r w:rsidRPr="00522D65">
        <w:rPr>
          <w:rFonts w:eastAsia="Calibri" w:cstheme="minorHAnsi"/>
          <w:sz w:val="20"/>
          <w:szCs w:val="20"/>
        </w:rPr>
        <w:t>3.1 El Estado de Variac</w:t>
      </w:r>
      <w:r w:rsidR="00734359">
        <w:rPr>
          <w:rFonts w:eastAsia="Calibri" w:cstheme="minorHAnsi"/>
          <w:sz w:val="20"/>
          <w:szCs w:val="20"/>
        </w:rPr>
        <w:t>ión en l</w:t>
      </w:r>
      <w:r w:rsidR="000D1CCB">
        <w:rPr>
          <w:rFonts w:eastAsia="Calibri" w:cstheme="minorHAnsi"/>
          <w:sz w:val="20"/>
          <w:szCs w:val="20"/>
        </w:rPr>
        <w:t>a Hacienda Pública al 31</w:t>
      </w:r>
      <w:r w:rsidR="00AD20FD">
        <w:rPr>
          <w:rFonts w:eastAsia="Calibri" w:cstheme="minorHAnsi"/>
          <w:sz w:val="20"/>
          <w:szCs w:val="20"/>
        </w:rPr>
        <w:t xml:space="preserve"> de </w:t>
      </w:r>
      <w:r w:rsidR="000804A3">
        <w:rPr>
          <w:rFonts w:eastAsia="Calibri" w:cstheme="minorHAnsi"/>
          <w:sz w:val="20"/>
          <w:szCs w:val="20"/>
        </w:rPr>
        <w:t>enero</w:t>
      </w:r>
      <w:r w:rsidR="00CC20DC">
        <w:rPr>
          <w:rFonts w:eastAsia="Calibri" w:cstheme="minorHAnsi"/>
          <w:sz w:val="20"/>
          <w:szCs w:val="20"/>
        </w:rPr>
        <w:t xml:space="preserve"> </w:t>
      </w:r>
      <w:r w:rsidR="000804A3">
        <w:rPr>
          <w:rFonts w:eastAsia="Calibri" w:cstheme="minorHAnsi"/>
          <w:sz w:val="20"/>
          <w:szCs w:val="20"/>
        </w:rPr>
        <w:t>de 2021</w:t>
      </w:r>
      <w:r w:rsidRPr="00522D65">
        <w:rPr>
          <w:rFonts w:eastAsia="Calibri" w:cstheme="minorHAnsi"/>
          <w:sz w:val="20"/>
          <w:szCs w:val="20"/>
        </w:rPr>
        <w:t xml:space="preserve"> se conforma de $100,000.00</w:t>
      </w:r>
      <w:r w:rsidR="000804A3">
        <w:rPr>
          <w:rFonts w:eastAsia="Calibri" w:cstheme="minorHAnsi"/>
          <w:sz w:val="20"/>
          <w:szCs w:val="20"/>
        </w:rPr>
        <w:t xml:space="preserve"> pesos M.N.</w:t>
      </w:r>
      <w:r w:rsidRPr="00522D65">
        <w:rPr>
          <w:rFonts w:eastAsia="Calibri" w:cstheme="minorHAnsi"/>
          <w:sz w:val="20"/>
          <w:szCs w:val="20"/>
        </w:rPr>
        <w:t xml:space="preserve"> que corresponden a la aportación inicial para la creación del Fideicomiso, tal y como se estipula en la Escritura Pública de Protocolización del contrato F/2003958 del 01 de marzo de 2018. Así como también</w:t>
      </w:r>
      <w:r w:rsidR="000804A3">
        <w:rPr>
          <w:rFonts w:eastAsia="Calibri" w:cstheme="minorHAnsi"/>
          <w:sz w:val="20"/>
          <w:szCs w:val="20"/>
        </w:rPr>
        <w:t>,</w:t>
      </w:r>
      <w:r w:rsidR="00371562">
        <w:rPr>
          <w:rFonts w:eastAsia="Calibri" w:cstheme="minorHAnsi"/>
          <w:sz w:val="20"/>
          <w:szCs w:val="20"/>
        </w:rPr>
        <w:t xml:space="preserve"> $</w:t>
      </w:r>
      <w:r w:rsidR="00D81FC5" w:rsidRPr="00D81FC5">
        <w:rPr>
          <w:rFonts w:eastAsia="Calibri" w:cstheme="minorHAnsi"/>
          <w:sz w:val="20"/>
          <w:szCs w:val="20"/>
        </w:rPr>
        <w:t>39</w:t>
      </w:r>
      <w:r w:rsidR="00D81FC5">
        <w:rPr>
          <w:rFonts w:eastAsia="Calibri" w:cstheme="minorHAnsi"/>
          <w:sz w:val="20"/>
          <w:szCs w:val="20"/>
        </w:rPr>
        <w:t>,</w:t>
      </w:r>
      <w:r w:rsidR="00D81FC5" w:rsidRPr="00D81FC5">
        <w:rPr>
          <w:rFonts w:eastAsia="Calibri" w:cstheme="minorHAnsi"/>
          <w:sz w:val="20"/>
          <w:szCs w:val="20"/>
        </w:rPr>
        <w:t>070</w:t>
      </w:r>
      <w:r w:rsidR="00D81FC5">
        <w:rPr>
          <w:rFonts w:eastAsia="Calibri" w:cstheme="minorHAnsi"/>
          <w:sz w:val="20"/>
          <w:szCs w:val="20"/>
        </w:rPr>
        <w:t>,</w:t>
      </w:r>
      <w:r w:rsidR="00D81FC5" w:rsidRPr="00D81FC5">
        <w:rPr>
          <w:rFonts w:eastAsia="Calibri" w:cstheme="minorHAnsi"/>
          <w:sz w:val="20"/>
          <w:szCs w:val="20"/>
        </w:rPr>
        <w:t>027.62</w:t>
      </w:r>
      <w:r w:rsidR="00D81FC5">
        <w:rPr>
          <w:rFonts w:eastAsia="Calibri" w:cstheme="minorHAnsi"/>
          <w:sz w:val="20"/>
          <w:szCs w:val="20"/>
        </w:rPr>
        <w:t xml:space="preserve"> </w:t>
      </w:r>
      <w:r w:rsidR="000804A3">
        <w:rPr>
          <w:rFonts w:eastAsia="Calibri" w:cstheme="minorHAnsi"/>
          <w:sz w:val="20"/>
          <w:szCs w:val="20"/>
        </w:rPr>
        <w:t xml:space="preserve">pesos M.N. </w:t>
      </w:r>
      <w:r w:rsidR="002C1054">
        <w:rPr>
          <w:rFonts w:eastAsia="Calibri" w:cstheme="minorHAnsi"/>
          <w:sz w:val="20"/>
          <w:szCs w:val="20"/>
        </w:rPr>
        <w:t>que corresponden a la inversión en bienes muebles como el mobiliario de oficina</w:t>
      </w:r>
      <w:r w:rsidR="00371562">
        <w:rPr>
          <w:rFonts w:eastAsia="Calibri" w:cstheme="minorHAnsi"/>
          <w:sz w:val="20"/>
          <w:szCs w:val="20"/>
        </w:rPr>
        <w:t>, maquinaria, herramientas</w:t>
      </w:r>
      <w:r w:rsidR="002C1054">
        <w:rPr>
          <w:rFonts w:eastAsia="Calibri" w:cstheme="minorHAnsi"/>
          <w:sz w:val="20"/>
          <w:szCs w:val="20"/>
        </w:rPr>
        <w:t xml:space="preserve"> y el equipo </w:t>
      </w:r>
      <w:r w:rsidR="000804A3">
        <w:rPr>
          <w:rFonts w:eastAsia="Calibri" w:cstheme="minorHAnsi"/>
          <w:sz w:val="20"/>
          <w:szCs w:val="20"/>
        </w:rPr>
        <w:t>de cómputo del Recinto y</w:t>
      </w:r>
      <w:r w:rsidR="002C1054">
        <w:rPr>
          <w:rFonts w:eastAsia="Calibri" w:cstheme="minorHAnsi"/>
          <w:sz w:val="20"/>
          <w:szCs w:val="20"/>
        </w:rPr>
        <w:t xml:space="preserve"> </w:t>
      </w:r>
      <w:r w:rsidR="009470A1">
        <w:rPr>
          <w:rFonts w:eastAsia="Calibri" w:cstheme="minorHAnsi"/>
          <w:sz w:val="20"/>
          <w:szCs w:val="20"/>
        </w:rPr>
        <w:t>$</w:t>
      </w:r>
      <w:r w:rsidR="000804A3">
        <w:rPr>
          <w:rFonts w:eastAsia="Calibri" w:cstheme="minorHAnsi"/>
          <w:sz w:val="20"/>
          <w:szCs w:val="20"/>
        </w:rPr>
        <w:t>281,707.41</w:t>
      </w:r>
      <w:r w:rsidR="007402A0">
        <w:rPr>
          <w:rFonts w:eastAsia="Calibri" w:cstheme="minorHAnsi"/>
          <w:sz w:val="20"/>
          <w:szCs w:val="20"/>
        </w:rPr>
        <w:t xml:space="preserve"> </w:t>
      </w:r>
      <w:r w:rsidR="000804A3">
        <w:rPr>
          <w:rFonts w:eastAsia="Calibri" w:cstheme="minorHAnsi"/>
          <w:sz w:val="20"/>
          <w:szCs w:val="20"/>
        </w:rPr>
        <w:t xml:space="preserve">pesos M.N. </w:t>
      </w:r>
      <w:r w:rsidR="00D81FC5">
        <w:rPr>
          <w:rFonts w:eastAsia="Calibri" w:cstheme="minorHAnsi"/>
          <w:sz w:val="20"/>
          <w:szCs w:val="20"/>
        </w:rPr>
        <w:t>q</w:t>
      </w:r>
      <w:r w:rsidR="009470A1">
        <w:rPr>
          <w:rFonts w:eastAsia="Calibri" w:cstheme="minorHAnsi"/>
          <w:sz w:val="20"/>
          <w:szCs w:val="20"/>
        </w:rPr>
        <w:t>ue cor</w:t>
      </w:r>
      <w:r w:rsidR="000804A3">
        <w:rPr>
          <w:rFonts w:eastAsia="Calibri" w:cstheme="minorHAnsi"/>
          <w:sz w:val="20"/>
          <w:szCs w:val="20"/>
        </w:rPr>
        <w:t>responde al ahorro de los ejercicios de 2018 a 2020</w:t>
      </w:r>
      <w:r w:rsidR="00AD20FD">
        <w:rPr>
          <w:rFonts w:eastAsia="Calibri" w:cstheme="minorHAnsi"/>
          <w:sz w:val="20"/>
          <w:szCs w:val="20"/>
        </w:rPr>
        <w:t>.</w:t>
      </w:r>
    </w:p>
    <w:p w:rsidR="005578E4" w:rsidRDefault="005578E4" w:rsidP="000F1626">
      <w:pPr>
        <w:jc w:val="both"/>
        <w:rPr>
          <w:rFonts w:eastAsia="Calibri" w:cstheme="minorHAnsi"/>
          <w:sz w:val="20"/>
          <w:szCs w:val="20"/>
        </w:rPr>
      </w:pPr>
    </w:p>
    <w:p w:rsidR="005A3692" w:rsidRDefault="005A3692" w:rsidP="000F1626">
      <w:pPr>
        <w:jc w:val="both"/>
        <w:rPr>
          <w:rFonts w:eastAsia="Calibri" w:cstheme="minorHAnsi"/>
          <w:sz w:val="20"/>
          <w:szCs w:val="20"/>
        </w:rPr>
      </w:pPr>
    </w:p>
    <w:p w:rsidR="00D87B56" w:rsidRDefault="00D87B56" w:rsidP="000F1626">
      <w:pPr>
        <w:jc w:val="both"/>
        <w:rPr>
          <w:rFonts w:eastAsia="Calibri" w:cstheme="minorHAnsi"/>
          <w:sz w:val="20"/>
          <w:szCs w:val="20"/>
        </w:rPr>
      </w:pPr>
    </w:p>
    <w:p w:rsidR="000804A3" w:rsidRPr="00E94EB7" w:rsidRDefault="000804A3" w:rsidP="000F1626">
      <w:pPr>
        <w:jc w:val="both"/>
        <w:rPr>
          <w:rFonts w:eastAsia="Calibri" w:cstheme="minorHAnsi"/>
          <w:sz w:val="20"/>
          <w:szCs w:val="20"/>
        </w:rPr>
      </w:pPr>
    </w:p>
    <w:p w:rsidR="000F1626" w:rsidRPr="00522D65" w:rsidRDefault="00B820FE" w:rsidP="000F1626">
      <w:pPr>
        <w:jc w:val="both"/>
        <w:rPr>
          <w:rFonts w:eastAsia="Calibri" w:cstheme="minorHAnsi"/>
          <w:b/>
          <w:sz w:val="20"/>
          <w:szCs w:val="20"/>
        </w:rPr>
      </w:pPr>
      <w:r w:rsidRPr="00522D65">
        <w:rPr>
          <w:rFonts w:eastAsia="Calibri" w:cstheme="minorHAnsi"/>
          <w:b/>
          <w:sz w:val="20"/>
          <w:szCs w:val="20"/>
        </w:rPr>
        <w:lastRenderedPageBreak/>
        <w:t>4</w:t>
      </w:r>
      <w:r w:rsidR="000F1626" w:rsidRPr="00522D65">
        <w:rPr>
          <w:rFonts w:eastAsia="Calibri" w:cstheme="minorHAnsi"/>
          <w:b/>
          <w:sz w:val="20"/>
          <w:szCs w:val="20"/>
        </w:rPr>
        <w:t>) NOTAS AL ESTADO DE FLUJOS DE EFECTIVO</w:t>
      </w:r>
    </w:p>
    <w:p w:rsidR="00C424A2" w:rsidRDefault="00C424A2" w:rsidP="000F1626">
      <w:pPr>
        <w:jc w:val="both"/>
        <w:rPr>
          <w:rFonts w:eastAsia="Calibri" w:cstheme="minorHAnsi"/>
          <w:b/>
          <w:sz w:val="20"/>
          <w:szCs w:val="20"/>
        </w:rPr>
      </w:pPr>
    </w:p>
    <w:p w:rsidR="000F1626" w:rsidRPr="00522D65" w:rsidRDefault="00B820FE" w:rsidP="000F1626">
      <w:pPr>
        <w:jc w:val="both"/>
        <w:rPr>
          <w:rFonts w:eastAsia="Calibri" w:cstheme="minorHAnsi"/>
          <w:b/>
          <w:sz w:val="20"/>
          <w:szCs w:val="20"/>
        </w:rPr>
      </w:pPr>
      <w:r w:rsidRPr="00522D65">
        <w:rPr>
          <w:rFonts w:eastAsia="Calibri" w:cstheme="minorHAnsi"/>
          <w:b/>
          <w:sz w:val="20"/>
          <w:szCs w:val="20"/>
        </w:rPr>
        <w:t xml:space="preserve">4.1 </w:t>
      </w:r>
      <w:r w:rsidR="000F1626" w:rsidRPr="00522D65">
        <w:rPr>
          <w:rFonts w:eastAsia="Calibri" w:cstheme="minorHAnsi"/>
          <w:b/>
          <w:sz w:val="20"/>
          <w:szCs w:val="20"/>
        </w:rPr>
        <w:t>Efectivo y equivalentes</w:t>
      </w:r>
    </w:p>
    <w:p w:rsidR="00C424A2" w:rsidRDefault="000F1626" w:rsidP="000F1626">
      <w:pPr>
        <w:jc w:val="both"/>
        <w:rPr>
          <w:rFonts w:eastAsia="Calibri" w:cstheme="minorHAnsi"/>
          <w:sz w:val="20"/>
          <w:szCs w:val="20"/>
        </w:rPr>
      </w:pPr>
      <w:r w:rsidRPr="009470A1">
        <w:rPr>
          <w:rFonts w:eastAsia="Calibri" w:cstheme="minorHAnsi"/>
          <w:sz w:val="20"/>
          <w:szCs w:val="20"/>
        </w:rPr>
        <w:t>El análisis de los saldos inicial y final que figuran en la última parte del</w:t>
      </w:r>
      <w:r w:rsidR="00B820FE" w:rsidRPr="009470A1">
        <w:rPr>
          <w:rFonts w:eastAsia="Calibri" w:cstheme="minorHAnsi"/>
          <w:sz w:val="20"/>
          <w:szCs w:val="20"/>
        </w:rPr>
        <w:t xml:space="preserve"> Estado de Flujo de Efectivo en </w:t>
      </w:r>
      <w:r w:rsidRPr="009470A1">
        <w:rPr>
          <w:rFonts w:eastAsia="Calibri" w:cstheme="minorHAnsi"/>
          <w:sz w:val="20"/>
          <w:szCs w:val="20"/>
        </w:rPr>
        <w:t>la cuenta de efectivo y equivalentes es como sigue:</w:t>
      </w:r>
    </w:p>
    <w:p w:rsidR="00637EC0" w:rsidRDefault="00D87B56" w:rsidP="00371562">
      <w:pPr>
        <w:jc w:val="center"/>
        <w:rPr>
          <w:rFonts w:eastAsia="Calibri" w:cstheme="minorHAnsi"/>
          <w:sz w:val="20"/>
          <w:szCs w:val="20"/>
        </w:rPr>
      </w:pPr>
      <w:r w:rsidRPr="00D87B56">
        <w:drawing>
          <wp:inline distT="0" distB="0" distL="0" distR="0">
            <wp:extent cx="4733925" cy="132397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3925" cy="1323975"/>
                    </a:xfrm>
                    <a:prstGeom prst="rect">
                      <a:avLst/>
                    </a:prstGeom>
                    <a:noFill/>
                    <a:ln>
                      <a:noFill/>
                    </a:ln>
                  </pic:spPr>
                </pic:pic>
              </a:graphicData>
            </a:graphic>
          </wp:inline>
        </w:drawing>
      </w:r>
    </w:p>
    <w:p w:rsidR="00E22E7B" w:rsidRDefault="00E22E7B" w:rsidP="008F51DD">
      <w:pPr>
        <w:rPr>
          <w:rFonts w:eastAsia="Calibri" w:cstheme="minorHAnsi"/>
          <w:b/>
          <w:sz w:val="20"/>
          <w:szCs w:val="20"/>
        </w:rPr>
      </w:pPr>
    </w:p>
    <w:p w:rsidR="008F51DD" w:rsidRPr="001A0EF5" w:rsidRDefault="008F51DD" w:rsidP="008F51DD">
      <w:pPr>
        <w:rPr>
          <w:rFonts w:eastAsia="Calibri" w:cstheme="minorHAnsi"/>
          <w:b/>
          <w:sz w:val="20"/>
          <w:szCs w:val="20"/>
        </w:rPr>
      </w:pPr>
      <w:r w:rsidRPr="001A0EF5">
        <w:rPr>
          <w:rFonts w:eastAsia="Calibri" w:cstheme="minorHAnsi"/>
          <w:b/>
          <w:sz w:val="20"/>
          <w:szCs w:val="20"/>
        </w:rPr>
        <w:t>4.2 Adquisición de Bienes Muebles e Inmuebles</w:t>
      </w:r>
    </w:p>
    <w:p w:rsidR="004258C6" w:rsidRDefault="008F51DD" w:rsidP="008F51DD">
      <w:pPr>
        <w:rPr>
          <w:rFonts w:eastAsia="Calibri" w:cstheme="minorHAnsi"/>
          <w:sz w:val="20"/>
          <w:szCs w:val="20"/>
        </w:rPr>
      </w:pPr>
      <w:r>
        <w:rPr>
          <w:rFonts w:eastAsia="Calibri" w:cstheme="minorHAnsi"/>
          <w:sz w:val="20"/>
          <w:szCs w:val="20"/>
        </w:rPr>
        <w:t xml:space="preserve">El Fideicomiso Público para el Turismo de Reuniones en Yucatán, únicamente cuenta con los bienes muebles citados en la parte inferior, de los cuales, </w:t>
      </w:r>
      <w:r w:rsidR="008C701B">
        <w:rPr>
          <w:rFonts w:eastAsia="Calibri" w:cstheme="minorHAnsi"/>
          <w:sz w:val="20"/>
          <w:szCs w:val="20"/>
        </w:rPr>
        <w:t>el 89.02</w:t>
      </w:r>
      <w:r w:rsidR="00AE37C3">
        <w:rPr>
          <w:rFonts w:eastAsia="Calibri" w:cstheme="minorHAnsi"/>
          <w:sz w:val="20"/>
          <w:szCs w:val="20"/>
        </w:rPr>
        <w:t xml:space="preserve">% fueron adquiridos mediante las licitaciones </w:t>
      </w:r>
      <w:r w:rsidR="00AE37C3" w:rsidRPr="00AE37C3">
        <w:rPr>
          <w:rFonts w:eastAsia="Calibri" w:cstheme="minorHAnsi"/>
          <w:sz w:val="20"/>
          <w:szCs w:val="20"/>
        </w:rPr>
        <w:t>SFT-L2-2018</w:t>
      </w:r>
      <w:r w:rsidR="00AE37C3">
        <w:rPr>
          <w:rFonts w:eastAsia="Calibri" w:cstheme="minorHAnsi"/>
          <w:sz w:val="20"/>
          <w:szCs w:val="20"/>
        </w:rPr>
        <w:t xml:space="preserve"> y SFT-L6-2018 de la Secretaria de Fomento Turístico de Yucatán</w:t>
      </w:r>
      <w:r w:rsidR="004258C6">
        <w:rPr>
          <w:rFonts w:eastAsia="Calibri" w:cstheme="minorHAnsi"/>
          <w:sz w:val="20"/>
          <w:szCs w:val="20"/>
        </w:rPr>
        <w:t xml:space="preserve"> publicados en el Diario Oficial de Yucatán el 28 de febrero y 09 de mayo de 2018.</w:t>
      </w:r>
    </w:p>
    <w:p w:rsidR="008F51DD" w:rsidRDefault="004258C6" w:rsidP="008F51DD">
      <w:pPr>
        <w:rPr>
          <w:rFonts w:eastAsia="Calibri" w:cstheme="minorHAnsi"/>
          <w:sz w:val="20"/>
          <w:szCs w:val="20"/>
        </w:rPr>
      </w:pPr>
      <w:r>
        <w:rPr>
          <w:rFonts w:eastAsia="Calibri" w:cstheme="minorHAnsi"/>
          <w:sz w:val="20"/>
          <w:szCs w:val="20"/>
        </w:rPr>
        <w:t>E</w:t>
      </w:r>
      <w:r w:rsidR="00AE37C3">
        <w:rPr>
          <w:rFonts w:eastAsia="Calibri" w:cstheme="minorHAnsi"/>
          <w:sz w:val="20"/>
          <w:szCs w:val="20"/>
        </w:rPr>
        <w:t>l</w:t>
      </w:r>
      <w:r w:rsidR="008C701B">
        <w:rPr>
          <w:rFonts w:eastAsia="Calibri" w:cstheme="minorHAnsi"/>
          <w:sz w:val="20"/>
          <w:szCs w:val="20"/>
        </w:rPr>
        <w:t xml:space="preserve"> 8.58</w:t>
      </w:r>
      <w:r w:rsidR="00B273E2">
        <w:rPr>
          <w:rFonts w:eastAsia="Calibri" w:cstheme="minorHAnsi"/>
          <w:sz w:val="20"/>
          <w:szCs w:val="20"/>
        </w:rPr>
        <w:t>% se adquirió mediante el subsidio otorgado en el ejercicio 2018 para el avitu</w:t>
      </w:r>
      <w:r w:rsidR="00B02A2B">
        <w:rPr>
          <w:rFonts w:eastAsia="Calibri" w:cstheme="minorHAnsi"/>
          <w:sz w:val="20"/>
          <w:szCs w:val="20"/>
        </w:rPr>
        <w:t>allamiento del edificio y</w:t>
      </w:r>
      <w:r w:rsidR="008D517F">
        <w:rPr>
          <w:rFonts w:eastAsia="Calibri" w:cstheme="minorHAnsi"/>
          <w:sz w:val="20"/>
          <w:szCs w:val="20"/>
        </w:rPr>
        <w:t xml:space="preserve"> el </w:t>
      </w:r>
      <w:r w:rsidR="008C701B">
        <w:rPr>
          <w:rFonts w:eastAsia="Calibri" w:cstheme="minorHAnsi"/>
          <w:sz w:val="20"/>
          <w:szCs w:val="20"/>
        </w:rPr>
        <w:t>2.40</w:t>
      </w:r>
      <w:r w:rsidR="00AE37C3">
        <w:rPr>
          <w:rFonts w:eastAsia="Calibri" w:cstheme="minorHAnsi"/>
          <w:sz w:val="20"/>
          <w:szCs w:val="20"/>
        </w:rPr>
        <w:t>% restante</w:t>
      </w:r>
      <w:r>
        <w:rPr>
          <w:rFonts w:eastAsia="Calibri" w:cstheme="minorHAnsi"/>
          <w:sz w:val="20"/>
          <w:szCs w:val="20"/>
        </w:rPr>
        <w:t xml:space="preserve"> de los bienes muebles que posee el Fideicomiso</w:t>
      </w:r>
      <w:r w:rsidR="00AE37C3">
        <w:rPr>
          <w:rFonts w:eastAsia="Calibri" w:cstheme="minorHAnsi"/>
          <w:sz w:val="20"/>
          <w:szCs w:val="20"/>
        </w:rPr>
        <w:t>, se compraron con los ingresos propios de la operación.</w:t>
      </w:r>
    </w:p>
    <w:p w:rsidR="00EF618E" w:rsidRDefault="00424808" w:rsidP="00424808">
      <w:pPr>
        <w:jc w:val="center"/>
        <w:rPr>
          <w:rFonts w:eastAsia="Calibri" w:cstheme="minorHAnsi"/>
          <w:sz w:val="20"/>
          <w:szCs w:val="20"/>
        </w:rPr>
      </w:pPr>
      <w:r w:rsidRPr="00424808">
        <w:rPr>
          <w:noProof/>
          <w:lang w:eastAsia="es-MX"/>
        </w:rPr>
        <w:drawing>
          <wp:inline distT="0" distB="0" distL="0" distR="0">
            <wp:extent cx="3352800" cy="18669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rsidR="00BB0B20" w:rsidRDefault="00BB0B20" w:rsidP="00690A9D">
      <w:pPr>
        <w:rPr>
          <w:rFonts w:eastAsia="Calibri" w:cstheme="minorHAnsi"/>
          <w:sz w:val="20"/>
          <w:szCs w:val="20"/>
        </w:rPr>
      </w:pPr>
    </w:p>
    <w:p w:rsidR="000804A3" w:rsidRDefault="000804A3" w:rsidP="00690A9D">
      <w:pPr>
        <w:rPr>
          <w:rFonts w:eastAsia="Calibri" w:cstheme="minorHAnsi"/>
          <w:sz w:val="20"/>
          <w:szCs w:val="20"/>
        </w:rPr>
      </w:pPr>
    </w:p>
    <w:p w:rsidR="000804A3" w:rsidRDefault="000804A3" w:rsidP="00690A9D">
      <w:pPr>
        <w:rPr>
          <w:rFonts w:eastAsia="Calibri" w:cstheme="minorHAnsi"/>
          <w:sz w:val="20"/>
          <w:szCs w:val="20"/>
        </w:rPr>
      </w:pPr>
    </w:p>
    <w:p w:rsidR="005578E4" w:rsidRDefault="005578E4" w:rsidP="00690A9D">
      <w:pPr>
        <w:rPr>
          <w:rFonts w:eastAsia="Calibri" w:cstheme="minorHAnsi"/>
          <w:b/>
          <w:sz w:val="20"/>
          <w:szCs w:val="20"/>
        </w:rPr>
      </w:pPr>
    </w:p>
    <w:p w:rsidR="007402A0" w:rsidRDefault="007402A0" w:rsidP="00690A9D">
      <w:pPr>
        <w:rPr>
          <w:rFonts w:eastAsia="Calibri" w:cstheme="minorHAnsi"/>
          <w:b/>
          <w:sz w:val="20"/>
          <w:szCs w:val="20"/>
        </w:rPr>
      </w:pPr>
    </w:p>
    <w:p w:rsidR="00690A9D" w:rsidRPr="00690A9D" w:rsidRDefault="00690A9D" w:rsidP="00690A9D">
      <w:pPr>
        <w:rPr>
          <w:rFonts w:eastAsia="Calibri" w:cstheme="minorHAnsi"/>
          <w:b/>
          <w:sz w:val="20"/>
          <w:szCs w:val="20"/>
        </w:rPr>
      </w:pPr>
      <w:r w:rsidRPr="006936CC">
        <w:rPr>
          <w:rFonts w:eastAsia="Calibri" w:cstheme="minorHAnsi"/>
          <w:b/>
          <w:sz w:val="20"/>
          <w:szCs w:val="20"/>
        </w:rPr>
        <w:t>4.3 Conciliación de los Flujos de Efectivo Netos de las Actividades de Operación y la cuenta de Ahorro/Desahorro antes de Rubros Extraordinarios</w:t>
      </w:r>
    </w:p>
    <w:p w:rsidR="00B14E56" w:rsidRDefault="006C3FA2" w:rsidP="00B14E56">
      <w:pPr>
        <w:jc w:val="center"/>
        <w:rPr>
          <w:noProof/>
          <w:lang w:eastAsia="es-MX"/>
        </w:rPr>
      </w:pPr>
      <w:r w:rsidRPr="006C3FA2">
        <w:drawing>
          <wp:inline distT="0" distB="0" distL="0" distR="0">
            <wp:extent cx="4857750" cy="2276475"/>
            <wp:effectExtent l="0" t="0" r="0"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7750" cy="2276475"/>
                    </a:xfrm>
                    <a:prstGeom prst="rect">
                      <a:avLst/>
                    </a:prstGeom>
                    <a:noFill/>
                    <a:ln>
                      <a:noFill/>
                    </a:ln>
                  </pic:spPr>
                </pic:pic>
              </a:graphicData>
            </a:graphic>
          </wp:inline>
        </w:drawing>
      </w:r>
    </w:p>
    <w:p w:rsidR="00EF0707" w:rsidRPr="00B14E56" w:rsidRDefault="00EF0707" w:rsidP="009309BC">
      <w:pPr>
        <w:rPr>
          <w:rFonts w:eastAsia="Calibri" w:cstheme="minorHAnsi"/>
          <w:sz w:val="20"/>
          <w:szCs w:val="20"/>
        </w:rPr>
      </w:pPr>
    </w:p>
    <w:p w:rsidR="000F1626" w:rsidRPr="0098781E" w:rsidRDefault="009D2F00" w:rsidP="000F1626">
      <w:pPr>
        <w:jc w:val="both"/>
        <w:rPr>
          <w:rFonts w:eastAsia="Calibri" w:cstheme="minorHAnsi"/>
          <w:b/>
          <w:sz w:val="20"/>
          <w:szCs w:val="20"/>
        </w:rPr>
      </w:pPr>
      <w:r w:rsidRPr="0098781E">
        <w:rPr>
          <w:rFonts w:eastAsia="Calibri" w:cstheme="minorHAnsi"/>
          <w:b/>
          <w:sz w:val="20"/>
          <w:szCs w:val="20"/>
        </w:rPr>
        <w:t>5</w:t>
      </w:r>
      <w:r w:rsidR="000F1626" w:rsidRPr="0098781E">
        <w:rPr>
          <w:rFonts w:eastAsia="Calibri" w:cstheme="minorHAnsi"/>
          <w:b/>
          <w:sz w:val="20"/>
          <w:szCs w:val="20"/>
        </w:rPr>
        <w:t>) CONCILIACIÓN ENTRE LOS INGRESOS PRESUPUESTARIOS Y CONTABLES, ASÍ COMO ENTRE LOS EGRESOS</w:t>
      </w:r>
    </w:p>
    <w:p w:rsidR="00B14E56" w:rsidRDefault="000F1626" w:rsidP="000F1626">
      <w:pPr>
        <w:jc w:val="both"/>
        <w:rPr>
          <w:rFonts w:eastAsia="Calibri" w:cstheme="minorHAnsi"/>
          <w:b/>
          <w:sz w:val="20"/>
          <w:szCs w:val="20"/>
        </w:rPr>
      </w:pPr>
      <w:r w:rsidRPr="0098781E">
        <w:rPr>
          <w:rFonts w:eastAsia="Calibri" w:cstheme="minorHAnsi"/>
          <w:b/>
          <w:sz w:val="20"/>
          <w:szCs w:val="20"/>
        </w:rPr>
        <w:t>PRESUPUESTARIOS Y LOS GASTOS CONTABLES</w:t>
      </w:r>
    </w:p>
    <w:p w:rsidR="00EC2340" w:rsidRDefault="00EC2340" w:rsidP="006C3FA2">
      <w:bookmarkStart w:id="0" w:name="_GoBack"/>
      <w:bookmarkEnd w:id="0"/>
    </w:p>
    <w:p w:rsidR="00EC2340" w:rsidRDefault="00D07ED8" w:rsidP="00C2783F">
      <w:pPr>
        <w:jc w:val="center"/>
      </w:pPr>
      <w:r w:rsidRPr="00D07ED8">
        <w:drawing>
          <wp:inline distT="0" distB="0" distL="0" distR="0">
            <wp:extent cx="4857750" cy="340995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57750" cy="3409950"/>
                    </a:xfrm>
                    <a:prstGeom prst="rect">
                      <a:avLst/>
                    </a:prstGeom>
                    <a:noFill/>
                    <a:ln>
                      <a:noFill/>
                    </a:ln>
                  </pic:spPr>
                </pic:pic>
              </a:graphicData>
            </a:graphic>
          </wp:inline>
        </w:drawing>
      </w: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1E1977" w:rsidRDefault="001E1977" w:rsidP="001E1977">
      <w:pPr>
        <w:jc w:val="center"/>
      </w:pPr>
    </w:p>
    <w:p w:rsidR="00D62A34" w:rsidRDefault="00D07ED8" w:rsidP="00C2783F">
      <w:pPr>
        <w:jc w:val="center"/>
      </w:pPr>
      <w:r w:rsidRPr="00D07ED8">
        <w:lastRenderedPageBreak/>
        <w:drawing>
          <wp:inline distT="0" distB="0" distL="0" distR="0">
            <wp:extent cx="4857750" cy="648652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0" cy="6486525"/>
                    </a:xfrm>
                    <a:prstGeom prst="rect">
                      <a:avLst/>
                    </a:prstGeom>
                    <a:noFill/>
                    <a:ln>
                      <a:noFill/>
                    </a:ln>
                  </pic:spPr>
                </pic:pic>
              </a:graphicData>
            </a:graphic>
          </wp:inline>
        </w:drawing>
      </w:r>
    </w:p>
    <w:p w:rsidR="00B40465" w:rsidRPr="00522D65" w:rsidRDefault="00B40465" w:rsidP="00AD7E5A">
      <w:pPr>
        <w:rPr>
          <w:rFonts w:eastAsia="Calibri" w:cstheme="minorHAnsi"/>
          <w:sz w:val="20"/>
          <w:szCs w:val="20"/>
        </w:rPr>
      </w:pPr>
    </w:p>
    <w:p w:rsidR="00210336" w:rsidRDefault="00210336" w:rsidP="00210336">
      <w:pPr>
        <w:jc w:val="both"/>
        <w:rPr>
          <w:rFonts w:eastAsia="Calibri" w:cstheme="minorHAnsi"/>
          <w:sz w:val="20"/>
          <w:szCs w:val="20"/>
        </w:rPr>
      </w:pPr>
      <w:r>
        <w:rPr>
          <w:rFonts w:eastAsia="Calibri" w:cstheme="minorHAnsi"/>
          <w:b/>
          <w:sz w:val="20"/>
          <w:szCs w:val="20"/>
        </w:rPr>
        <w:t>5.2</w:t>
      </w:r>
      <w:r w:rsidRPr="00522D65">
        <w:rPr>
          <w:rFonts w:eastAsia="Calibri" w:cstheme="minorHAnsi"/>
          <w:b/>
          <w:sz w:val="20"/>
          <w:szCs w:val="20"/>
        </w:rPr>
        <w:t xml:space="preserve"> </w:t>
      </w:r>
      <w:r w:rsidR="00D850B4">
        <w:rPr>
          <w:rFonts w:eastAsia="Calibri" w:cstheme="minorHAnsi"/>
          <w:sz w:val="20"/>
          <w:szCs w:val="20"/>
        </w:rPr>
        <w:t>Los g</w:t>
      </w:r>
      <w:r>
        <w:rPr>
          <w:rFonts w:eastAsia="Calibri" w:cstheme="minorHAnsi"/>
          <w:sz w:val="20"/>
          <w:szCs w:val="20"/>
        </w:rPr>
        <w:t>astos contables no presupuestales</w:t>
      </w:r>
      <w:r w:rsidRPr="00522D65">
        <w:rPr>
          <w:rFonts w:eastAsia="Calibri" w:cstheme="minorHAnsi"/>
          <w:sz w:val="20"/>
          <w:szCs w:val="20"/>
        </w:rPr>
        <w:t xml:space="preserve"> se refieren a</w:t>
      </w:r>
      <w:r>
        <w:rPr>
          <w:rFonts w:eastAsia="Calibri" w:cstheme="minorHAnsi"/>
          <w:sz w:val="20"/>
          <w:szCs w:val="20"/>
        </w:rPr>
        <w:t xml:space="preserve"> la</w:t>
      </w:r>
      <w:r w:rsidR="00E04A0D">
        <w:rPr>
          <w:rFonts w:eastAsia="Calibri" w:cstheme="minorHAnsi"/>
          <w:sz w:val="20"/>
          <w:szCs w:val="20"/>
        </w:rPr>
        <w:t xml:space="preserve"> depreciaci</w:t>
      </w:r>
      <w:r w:rsidR="00276622">
        <w:rPr>
          <w:rFonts w:eastAsia="Calibri" w:cstheme="minorHAnsi"/>
          <w:sz w:val="20"/>
          <w:szCs w:val="20"/>
        </w:rPr>
        <w:t>ón de todos los</w:t>
      </w:r>
      <w:r w:rsidR="00D850B4">
        <w:rPr>
          <w:rFonts w:eastAsia="Calibri" w:cstheme="minorHAnsi"/>
          <w:sz w:val="20"/>
          <w:szCs w:val="20"/>
        </w:rPr>
        <w:t xml:space="preserve"> bienes</w:t>
      </w:r>
      <w:r w:rsidR="00276622">
        <w:rPr>
          <w:rFonts w:eastAsia="Calibri" w:cstheme="minorHAnsi"/>
          <w:sz w:val="20"/>
          <w:szCs w:val="20"/>
        </w:rPr>
        <w:t xml:space="preserve"> muebles con los que cuenta FIDETURE</w:t>
      </w:r>
      <w:r w:rsidR="00D91E6C">
        <w:rPr>
          <w:rFonts w:eastAsia="Calibri" w:cstheme="minorHAnsi"/>
          <w:sz w:val="20"/>
          <w:szCs w:val="20"/>
        </w:rPr>
        <w:t>.</w:t>
      </w:r>
    </w:p>
    <w:p w:rsidR="009D2F00" w:rsidRPr="00522D65" w:rsidRDefault="009D2F00" w:rsidP="00210336">
      <w:pPr>
        <w:rPr>
          <w:rFonts w:eastAsia="Calibri" w:cstheme="minorHAnsi"/>
          <w:b/>
          <w:sz w:val="20"/>
          <w:szCs w:val="20"/>
        </w:rPr>
      </w:pPr>
    </w:p>
    <w:p w:rsidR="000F1626" w:rsidRPr="00522D65" w:rsidRDefault="000F1626" w:rsidP="000F1626">
      <w:pPr>
        <w:rPr>
          <w:rFonts w:eastAsia="Calibri" w:cstheme="minorHAnsi"/>
          <w:b/>
          <w:sz w:val="20"/>
          <w:szCs w:val="20"/>
        </w:rPr>
      </w:pPr>
    </w:p>
    <w:p w:rsidR="007842A4" w:rsidRPr="00522D65" w:rsidRDefault="007842A4" w:rsidP="000F1626">
      <w:pPr>
        <w:rPr>
          <w:rFonts w:eastAsia="Calibri" w:cstheme="minorHAnsi"/>
          <w:b/>
          <w:sz w:val="20"/>
          <w:szCs w:val="20"/>
        </w:rPr>
      </w:pPr>
    </w:p>
    <w:p w:rsidR="005B06B5" w:rsidRDefault="005B06B5" w:rsidP="005B06B5">
      <w:pPr>
        <w:jc w:val="center"/>
        <w:rPr>
          <w:rFonts w:cstheme="minorHAnsi"/>
          <w:b/>
          <w:sz w:val="20"/>
          <w:szCs w:val="20"/>
        </w:rPr>
      </w:pPr>
      <w:r w:rsidRPr="00D62A34">
        <w:rPr>
          <w:rFonts w:cstheme="minorHAnsi"/>
          <w:b/>
          <w:sz w:val="20"/>
          <w:szCs w:val="20"/>
        </w:rPr>
        <w:lastRenderedPageBreak/>
        <w:t>B) NOTAS DE MEMORIA (CUENTAS DE ORDEN)</w:t>
      </w:r>
    </w:p>
    <w:p w:rsidR="00230FE6" w:rsidRPr="00522D65" w:rsidRDefault="009E3FAD" w:rsidP="00230FE6">
      <w:pPr>
        <w:rPr>
          <w:rFonts w:cstheme="minorHAnsi"/>
          <w:b/>
          <w:sz w:val="20"/>
          <w:szCs w:val="20"/>
        </w:rPr>
      </w:pPr>
      <w:r>
        <w:rPr>
          <w:rFonts w:cstheme="minorHAnsi"/>
          <w:b/>
          <w:sz w:val="20"/>
          <w:szCs w:val="20"/>
        </w:rPr>
        <w:t>1</w:t>
      </w:r>
      <w:r w:rsidR="00230FE6">
        <w:rPr>
          <w:rFonts w:cstheme="minorHAnsi"/>
          <w:b/>
          <w:sz w:val="20"/>
          <w:szCs w:val="20"/>
        </w:rPr>
        <w:t xml:space="preserve">. </w:t>
      </w:r>
      <w:r w:rsidR="00ED32F0">
        <w:rPr>
          <w:rFonts w:cstheme="minorHAnsi"/>
          <w:sz w:val="20"/>
          <w:szCs w:val="20"/>
        </w:rPr>
        <w:t>Al</w:t>
      </w:r>
      <w:r w:rsidR="00D07ED8">
        <w:rPr>
          <w:rFonts w:cstheme="minorHAnsi"/>
          <w:sz w:val="20"/>
          <w:szCs w:val="20"/>
        </w:rPr>
        <w:t xml:space="preserve"> 30 de junio</w:t>
      </w:r>
      <w:r w:rsidR="00EF0707">
        <w:rPr>
          <w:rFonts w:cstheme="minorHAnsi"/>
          <w:sz w:val="20"/>
          <w:szCs w:val="20"/>
        </w:rPr>
        <w:t xml:space="preserve"> de 2021</w:t>
      </w:r>
      <w:r w:rsidR="00230FE6" w:rsidRPr="00230FE6">
        <w:rPr>
          <w:rFonts w:cstheme="minorHAnsi"/>
          <w:sz w:val="20"/>
          <w:szCs w:val="20"/>
        </w:rPr>
        <w:t xml:space="preserve"> el Fideicomiso no presenta saldos en las cuentas de orden contables.</w:t>
      </w:r>
    </w:p>
    <w:p w:rsidR="00F64FC1" w:rsidRDefault="009E3FAD" w:rsidP="005B06B5">
      <w:pPr>
        <w:rPr>
          <w:rFonts w:cstheme="minorHAnsi"/>
          <w:b/>
          <w:sz w:val="20"/>
          <w:szCs w:val="20"/>
        </w:rPr>
      </w:pPr>
      <w:r>
        <w:rPr>
          <w:rFonts w:cstheme="minorHAnsi"/>
          <w:b/>
          <w:sz w:val="20"/>
          <w:szCs w:val="20"/>
        </w:rPr>
        <w:t>2</w:t>
      </w:r>
      <w:r w:rsidR="005B06B5" w:rsidRPr="00522D65">
        <w:rPr>
          <w:rFonts w:cstheme="minorHAnsi"/>
          <w:b/>
          <w:sz w:val="20"/>
          <w:szCs w:val="20"/>
        </w:rPr>
        <w:t xml:space="preserve">. </w:t>
      </w:r>
      <w:r w:rsidR="005B06B5" w:rsidRPr="0095002C">
        <w:rPr>
          <w:rFonts w:cstheme="minorHAnsi"/>
          <w:sz w:val="20"/>
          <w:szCs w:val="20"/>
        </w:rPr>
        <w:t>A continuación se pl</w:t>
      </w:r>
      <w:r w:rsidR="0095002C" w:rsidRPr="0095002C">
        <w:rPr>
          <w:rFonts w:cstheme="minorHAnsi"/>
          <w:sz w:val="20"/>
          <w:szCs w:val="20"/>
        </w:rPr>
        <w:t>asman la</w:t>
      </w:r>
      <w:r w:rsidR="00210336">
        <w:rPr>
          <w:rFonts w:cstheme="minorHAnsi"/>
          <w:sz w:val="20"/>
          <w:szCs w:val="20"/>
        </w:rPr>
        <w:t>s</w:t>
      </w:r>
      <w:r w:rsidR="00956E36">
        <w:rPr>
          <w:rFonts w:cstheme="minorHAnsi"/>
          <w:sz w:val="20"/>
          <w:szCs w:val="20"/>
        </w:rPr>
        <w:t xml:space="preserve"> cue</w:t>
      </w:r>
      <w:r w:rsidR="00B6560E">
        <w:rPr>
          <w:rFonts w:cstheme="minorHAnsi"/>
          <w:sz w:val="20"/>
          <w:szCs w:val="20"/>
        </w:rPr>
        <w:t xml:space="preserve">ntas de </w:t>
      </w:r>
      <w:r w:rsidR="00D07ED8">
        <w:rPr>
          <w:rFonts w:cstheme="minorHAnsi"/>
          <w:sz w:val="20"/>
          <w:szCs w:val="20"/>
        </w:rPr>
        <w:t>orden al 30 de junio</w:t>
      </w:r>
      <w:r w:rsidR="00244A45">
        <w:rPr>
          <w:rFonts w:cstheme="minorHAnsi"/>
          <w:sz w:val="20"/>
          <w:szCs w:val="20"/>
        </w:rPr>
        <w:t xml:space="preserve"> </w:t>
      </w:r>
      <w:r w:rsidR="00EF0707">
        <w:rPr>
          <w:rFonts w:cstheme="minorHAnsi"/>
          <w:sz w:val="20"/>
          <w:szCs w:val="20"/>
        </w:rPr>
        <w:t>de 2021</w:t>
      </w:r>
      <w:r w:rsidR="00376F01">
        <w:rPr>
          <w:rFonts w:cstheme="minorHAnsi"/>
          <w:sz w:val="20"/>
          <w:szCs w:val="20"/>
        </w:rPr>
        <w:t>.</w:t>
      </w:r>
    </w:p>
    <w:p w:rsidR="00CD6E57" w:rsidRDefault="00D07ED8" w:rsidP="001F055E">
      <w:pPr>
        <w:jc w:val="center"/>
        <w:rPr>
          <w:rFonts w:cstheme="minorHAnsi"/>
          <w:b/>
          <w:sz w:val="20"/>
          <w:szCs w:val="20"/>
        </w:rPr>
      </w:pPr>
      <w:r w:rsidRPr="00D07ED8">
        <w:drawing>
          <wp:inline distT="0" distB="0" distL="0" distR="0">
            <wp:extent cx="5612130" cy="698471"/>
            <wp:effectExtent l="0" t="0" r="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698471"/>
                    </a:xfrm>
                    <a:prstGeom prst="rect">
                      <a:avLst/>
                    </a:prstGeom>
                    <a:noFill/>
                    <a:ln>
                      <a:noFill/>
                    </a:ln>
                  </pic:spPr>
                </pic:pic>
              </a:graphicData>
            </a:graphic>
          </wp:inline>
        </w:drawing>
      </w:r>
    </w:p>
    <w:p w:rsidR="009E3FAD" w:rsidRDefault="009E3FAD" w:rsidP="001F055E">
      <w:pPr>
        <w:jc w:val="center"/>
        <w:rPr>
          <w:rFonts w:cstheme="minorHAnsi"/>
          <w:b/>
          <w:sz w:val="20"/>
          <w:szCs w:val="20"/>
        </w:rPr>
      </w:pPr>
    </w:p>
    <w:p w:rsidR="005B06B5" w:rsidRPr="00522D65" w:rsidRDefault="001F055E" w:rsidP="001F055E">
      <w:pPr>
        <w:jc w:val="center"/>
        <w:rPr>
          <w:rFonts w:cstheme="minorHAnsi"/>
          <w:b/>
          <w:sz w:val="20"/>
          <w:szCs w:val="20"/>
        </w:rPr>
      </w:pPr>
      <w:r w:rsidRPr="00522D65">
        <w:rPr>
          <w:rFonts w:cstheme="minorHAnsi"/>
          <w:b/>
          <w:sz w:val="20"/>
          <w:szCs w:val="20"/>
        </w:rPr>
        <w:t>C</w:t>
      </w:r>
      <w:r w:rsidR="005B06B5" w:rsidRPr="00522D65">
        <w:rPr>
          <w:rFonts w:cstheme="minorHAnsi"/>
          <w:b/>
          <w:sz w:val="20"/>
          <w:szCs w:val="20"/>
        </w:rPr>
        <w:t>) NOTAS DE GESTIÓN ADMINISTRATIVA</w:t>
      </w:r>
    </w:p>
    <w:p w:rsidR="005B06B5" w:rsidRPr="00522D65" w:rsidRDefault="005B06B5" w:rsidP="00AA1395">
      <w:pPr>
        <w:jc w:val="both"/>
        <w:rPr>
          <w:rFonts w:cstheme="minorHAnsi"/>
          <w:b/>
          <w:sz w:val="20"/>
          <w:szCs w:val="20"/>
        </w:rPr>
      </w:pPr>
      <w:r w:rsidRPr="00522D65">
        <w:rPr>
          <w:rFonts w:cstheme="minorHAnsi"/>
          <w:b/>
          <w:sz w:val="20"/>
          <w:szCs w:val="20"/>
        </w:rPr>
        <w:t>1. Introducción</w:t>
      </w:r>
    </w:p>
    <w:p w:rsidR="005B06B5" w:rsidRPr="00522D65" w:rsidRDefault="005B06B5" w:rsidP="00AA1395">
      <w:pPr>
        <w:jc w:val="both"/>
        <w:rPr>
          <w:rFonts w:cstheme="minorHAnsi"/>
          <w:sz w:val="20"/>
          <w:szCs w:val="20"/>
        </w:rPr>
      </w:pPr>
      <w:r w:rsidRPr="00522D65">
        <w:rPr>
          <w:rFonts w:cstheme="minorHAnsi"/>
          <w:sz w:val="20"/>
          <w:szCs w:val="20"/>
        </w:rPr>
        <w:t>Los Estados F</w:t>
      </w:r>
      <w:r w:rsidR="001F055E" w:rsidRPr="00522D65">
        <w:rPr>
          <w:rFonts w:cstheme="minorHAnsi"/>
          <w:sz w:val="20"/>
          <w:szCs w:val="20"/>
        </w:rPr>
        <w:t>inancieros del Fideicomiso Público para el Desarrollo del Turismo de Reuniones en Yucatán</w:t>
      </w:r>
      <w:r w:rsidRPr="00522D65">
        <w:rPr>
          <w:rFonts w:cstheme="minorHAnsi"/>
          <w:sz w:val="20"/>
          <w:szCs w:val="20"/>
        </w:rPr>
        <w:t>, proveen de informaci</w:t>
      </w:r>
      <w:r w:rsidR="001F055E" w:rsidRPr="00522D65">
        <w:rPr>
          <w:rFonts w:cstheme="minorHAnsi"/>
          <w:sz w:val="20"/>
          <w:szCs w:val="20"/>
        </w:rPr>
        <w:t xml:space="preserve">ón financiera a los principales </w:t>
      </w:r>
      <w:r w:rsidRPr="00522D65">
        <w:rPr>
          <w:rFonts w:cstheme="minorHAnsi"/>
          <w:sz w:val="20"/>
          <w:szCs w:val="20"/>
        </w:rPr>
        <w:t>usuarios de la misma, al Congreso y a los ciudadanos.</w:t>
      </w:r>
    </w:p>
    <w:p w:rsidR="005B06B5" w:rsidRPr="00522D65" w:rsidRDefault="005B06B5" w:rsidP="00AA1395">
      <w:pPr>
        <w:jc w:val="both"/>
        <w:rPr>
          <w:rFonts w:cstheme="minorHAnsi"/>
          <w:sz w:val="20"/>
          <w:szCs w:val="20"/>
        </w:rPr>
      </w:pPr>
      <w:r w:rsidRPr="00522D65">
        <w:rPr>
          <w:rFonts w:cstheme="minorHAnsi"/>
          <w:sz w:val="20"/>
          <w:szCs w:val="20"/>
        </w:rPr>
        <w:t>El objetivo del presente documento es la revelación del contexto y de los aspectos económic</w:t>
      </w:r>
      <w:r w:rsidR="001F055E" w:rsidRPr="00522D65">
        <w:rPr>
          <w:rFonts w:cstheme="minorHAnsi"/>
          <w:sz w:val="20"/>
          <w:szCs w:val="20"/>
        </w:rPr>
        <w:t xml:space="preserve">os-financieros </w:t>
      </w:r>
      <w:r w:rsidRPr="00522D65">
        <w:rPr>
          <w:rFonts w:cstheme="minorHAnsi"/>
          <w:sz w:val="20"/>
          <w:szCs w:val="20"/>
        </w:rPr>
        <w:t>más relevantes que influyeron en las decisiones del período, y que</w:t>
      </w:r>
      <w:r w:rsidR="001F055E" w:rsidRPr="00522D65">
        <w:rPr>
          <w:rFonts w:cstheme="minorHAnsi"/>
          <w:sz w:val="20"/>
          <w:szCs w:val="20"/>
        </w:rPr>
        <w:t xml:space="preserve"> deberán ser considerados en la </w:t>
      </w:r>
      <w:r w:rsidRPr="00522D65">
        <w:rPr>
          <w:rFonts w:cstheme="minorHAnsi"/>
          <w:sz w:val="20"/>
          <w:szCs w:val="20"/>
        </w:rPr>
        <w:t>elaboración de los estados financieros para la mayor comprensión de los mismos y sus particularidades.</w:t>
      </w:r>
    </w:p>
    <w:p w:rsidR="005B06B5" w:rsidRPr="00522D65" w:rsidRDefault="005B06B5" w:rsidP="00AA1395">
      <w:pPr>
        <w:jc w:val="both"/>
        <w:rPr>
          <w:rFonts w:cstheme="minorHAnsi"/>
          <w:sz w:val="20"/>
          <w:szCs w:val="20"/>
        </w:rPr>
      </w:pPr>
      <w:r w:rsidRPr="00522D65">
        <w:rPr>
          <w:rFonts w:cstheme="minorHAnsi"/>
          <w:sz w:val="20"/>
          <w:szCs w:val="20"/>
        </w:rPr>
        <w:t xml:space="preserve">De esta manera, se informa y explica la respuesta del gobierno a las </w:t>
      </w:r>
      <w:r w:rsidR="001F055E" w:rsidRPr="00522D65">
        <w:rPr>
          <w:rFonts w:cstheme="minorHAnsi"/>
          <w:sz w:val="20"/>
          <w:szCs w:val="20"/>
        </w:rPr>
        <w:t xml:space="preserve">condiciones relacionadas con la </w:t>
      </w:r>
      <w:r w:rsidRPr="00522D65">
        <w:rPr>
          <w:rFonts w:cstheme="minorHAnsi"/>
          <w:sz w:val="20"/>
          <w:szCs w:val="20"/>
        </w:rPr>
        <w:t>información financiera de cada período de gestión; además, de exponer aquella</w:t>
      </w:r>
      <w:r w:rsidR="001F055E" w:rsidRPr="00522D65">
        <w:rPr>
          <w:rFonts w:cstheme="minorHAnsi"/>
          <w:sz w:val="20"/>
          <w:szCs w:val="20"/>
        </w:rPr>
        <w:t xml:space="preserve">s políticas que podrían afectar </w:t>
      </w:r>
      <w:r w:rsidRPr="00522D65">
        <w:rPr>
          <w:rFonts w:cstheme="minorHAnsi"/>
          <w:sz w:val="20"/>
          <w:szCs w:val="20"/>
        </w:rPr>
        <w:t>la toma de decisiones en períodos posteriores.</w:t>
      </w:r>
    </w:p>
    <w:p w:rsidR="005B06B5" w:rsidRPr="00522D65" w:rsidRDefault="005B06B5" w:rsidP="00AA1395">
      <w:pPr>
        <w:jc w:val="both"/>
        <w:rPr>
          <w:rFonts w:cstheme="minorHAnsi"/>
          <w:b/>
          <w:sz w:val="20"/>
          <w:szCs w:val="20"/>
        </w:rPr>
      </w:pPr>
      <w:r w:rsidRPr="00522D65">
        <w:rPr>
          <w:rFonts w:cstheme="minorHAnsi"/>
          <w:b/>
          <w:sz w:val="20"/>
          <w:szCs w:val="20"/>
        </w:rPr>
        <w:t>2. Panorama Económico y Financiero</w:t>
      </w:r>
    </w:p>
    <w:p w:rsidR="007842A4" w:rsidRPr="00522D65" w:rsidRDefault="007842A4" w:rsidP="00AA1395">
      <w:pPr>
        <w:jc w:val="both"/>
        <w:rPr>
          <w:rFonts w:cstheme="minorHAnsi"/>
          <w:b/>
          <w:sz w:val="20"/>
          <w:szCs w:val="20"/>
        </w:rPr>
      </w:pPr>
      <w:r w:rsidRPr="00522D65">
        <w:rPr>
          <w:rFonts w:cstheme="minorHAnsi"/>
          <w:sz w:val="20"/>
          <w:szCs w:val="20"/>
        </w:rPr>
        <w:t>La Ley para el Fomento y Desarrollo del Turismo en Yucatán determina, en su artículo 53, fracción V, como acciones primordiales para lograr el desarrollo del turismo social en el estado, entre otras, propiciar la celebración de reuniones, congresos y seminarios regionales, estatales, nacionales e internacionales de turismo social.</w:t>
      </w:r>
    </w:p>
    <w:p w:rsidR="007842A4" w:rsidRPr="00522D65" w:rsidRDefault="007842A4" w:rsidP="00AA1395">
      <w:pPr>
        <w:jc w:val="both"/>
        <w:rPr>
          <w:rFonts w:cstheme="minorHAnsi"/>
          <w:sz w:val="20"/>
          <w:szCs w:val="20"/>
        </w:rPr>
      </w:pPr>
      <w:r w:rsidRPr="00522D65">
        <w:rPr>
          <w:rFonts w:cstheme="minorHAnsi"/>
          <w:sz w:val="20"/>
          <w:szCs w:val="20"/>
        </w:rPr>
        <w:t xml:space="preserve">Por lo tanto, el Gobierno del estado de Yucatán establece como primordial que se implemente los mecanismos para generar y fortalecer la participación y coordinación entre los sectores público, privado y social que permitan impulsar el turismo de reuniones en el estado. </w:t>
      </w:r>
    </w:p>
    <w:p w:rsidR="007842A4" w:rsidRPr="00522D65" w:rsidRDefault="007842A4" w:rsidP="00AA1395">
      <w:pPr>
        <w:jc w:val="both"/>
        <w:rPr>
          <w:rFonts w:cstheme="minorHAnsi"/>
          <w:b/>
          <w:sz w:val="20"/>
          <w:szCs w:val="20"/>
        </w:rPr>
      </w:pPr>
      <w:r w:rsidRPr="00522D65">
        <w:rPr>
          <w:rFonts w:cstheme="minorHAnsi"/>
          <w:sz w:val="20"/>
          <w:szCs w:val="20"/>
        </w:rPr>
        <w:t>De igual forma, el Plan Estatal de Desarrollo 2012 – 2018 establece, en su eje de desarrollo Yucatán Competitivo, el tema Turismo, cuyo objetivo número 3 es “Aumentar la estadía de visitantes al estado”. Entre las estrategias para cumplir con este objetivo se encuentran las relativas a “Consolidar el mercado de turismo de reuniones, así como incrementar la oferta disponible para este segmento en el estado” y “Mejorar la infraestructura turística pública en el estado, mediante acciones de renovación, creación y modernización”. Que el Plan Estatal de Desarrollo 2012 – 2018 señala, dentro de los compromisos de gobierno, el número 18, concerniente en “Consolidar y ampliar de manera estratégica la infraestructura y las facilidades necesarias a la ciudad de Mérida, para fortalecerla como un destino de selección inmediata del turismo de congresos y convenciones”.</w:t>
      </w:r>
    </w:p>
    <w:p w:rsidR="007842A4" w:rsidRPr="00522D65" w:rsidRDefault="007842A4" w:rsidP="00AA1395">
      <w:pPr>
        <w:jc w:val="both"/>
        <w:rPr>
          <w:rFonts w:cstheme="minorHAnsi"/>
          <w:sz w:val="20"/>
          <w:szCs w:val="20"/>
        </w:rPr>
      </w:pPr>
      <w:r w:rsidRPr="00522D65">
        <w:rPr>
          <w:rFonts w:cstheme="minorHAnsi"/>
          <w:sz w:val="20"/>
          <w:szCs w:val="20"/>
        </w:rPr>
        <w:lastRenderedPageBreak/>
        <w:t>Que, en virtud de todo lo expuesto, es necesario regular un fideicomiso público, como mecanismo de coordinación entre los sectores público, privado y social, para el desarrollo del turismo de reuniones en Yucatán, que permita, con base en acuerdos y decisiones balanceadas, conducir la política pública de este segmento turístico así como administrar, operar y comercializar los recintos, y sus servicios conexos, con los que cuente para tal efecto, propiciando el constante desarrollo y la estabilidad del sector.</w:t>
      </w:r>
    </w:p>
    <w:p w:rsidR="005B06B5" w:rsidRPr="00522D65" w:rsidRDefault="005B06B5" w:rsidP="00AA1395">
      <w:pPr>
        <w:jc w:val="both"/>
        <w:rPr>
          <w:rFonts w:cstheme="minorHAnsi"/>
          <w:b/>
          <w:sz w:val="20"/>
          <w:szCs w:val="20"/>
        </w:rPr>
      </w:pPr>
      <w:r w:rsidRPr="00522D65">
        <w:rPr>
          <w:rFonts w:cstheme="minorHAnsi"/>
          <w:b/>
          <w:sz w:val="20"/>
          <w:szCs w:val="20"/>
        </w:rPr>
        <w:t>3. Autorización e Historia</w:t>
      </w:r>
    </w:p>
    <w:p w:rsidR="006544B4" w:rsidRPr="00522D65" w:rsidRDefault="006544B4" w:rsidP="00AA1395">
      <w:pPr>
        <w:jc w:val="both"/>
        <w:rPr>
          <w:rFonts w:cstheme="minorHAnsi"/>
          <w:sz w:val="20"/>
          <w:szCs w:val="20"/>
        </w:rPr>
      </w:pPr>
      <w:r w:rsidRPr="00522D65">
        <w:rPr>
          <w:rFonts w:cstheme="minorHAnsi"/>
          <w:sz w:val="20"/>
          <w:szCs w:val="20"/>
        </w:rPr>
        <w:t>El Fideicomiso Público para el Desarrollo el Turismo de Reuniones en Yucatán (Centro Internacional de Congres</w:t>
      </w:r>
      <w:r w:rsidR="00845339">
        <w:rPr>
          <w:rFonts w:cstheme="minorHAnsi"/>
          <w:sz w:val="20"/>
          <w:szCs w:val="20"/>
        </w:rPr>
        <w:t>os de Yucatán</w:t>
      </w:r>
      <w:r w:rsidRPr="00522D65">
        <w:rPr>
          <w:rFonts w:cstheme="minorHAnsi"/>
          <w:sz w:val="20"/>
          <w:szCs w:val="20"/>
        </w:rPr>
        <w:t>), es una entidad paraestatal, con personalidad jurídica y patrimonio propios, creado el 22 de noviembre de 2017, mediante el decreto número 547 publicado en el Diario Oficial del Estado de Yucatán.</w:t>
      </w:r>
    </w:p>
    <w:p w:rsidR="006544B4" w:rsidRPr="00522D65" w:rsidRDefault="006544B4" w:rsidP="00AA1395">
      <w:pPr>
        <w:jc w:val="both"/>
        <w:rPr>
          <w:rFonts w:cstheme="minorHAnsi"/>
          <w:sz w:val="20"/>
          <w:szCs w:val="20"/>
        </w:rPr>
      </w:pPr>
      <w:r w:rsidRPr="00522D65">
        <w:rPr>
          <w:rFonts w:cstheme="minorHAnsi"/>
          <w:sz w:val="20"/>
          <w:szCs w:val="20"/>
        </w:rPr>
        <w:t xml:space="preserve">El día 26 de diciembre de 2017, </w:t>
      </w:r>
      <w:r w:rsidR="007158EC" w:rsidRPr="00522D65">
        <w:rPr>
          <w:rFonts w:cstheme="minorHAnsi"/>
          <w:sz w:val="20"/>
          <w:szCs w:val="20"/>
        </w:rPr>
        <w:t xml:space="preserve">mediante el decreto número 574 </w:t>
      </w:r>
      <w:r w:rsidRPr="00522D65">
        <w:rPr>
          <w:rFonts w:cstheme="minorHAnsi"/>
          <w:sz w:val="20"/>
          <w:szCs w:val="20"/>
        </w:rPr>
        <w:t>publicado en el Diario Oficial de Yucatán, se autoriz</w:t>
      </w:r>
      <w:r w:rsidR="007158EC" w:rsidRPr="00522D65">
        <w:rPr>
          <w:rFonts w:cstheme="minorHAnsi"/>
          <w:sz w:val="20"/>
          <w:szCs w:val="20"/>
        </w:rPr>
        <w:t xml:space="preserve">ó reformar y adicionar </w:t>
      </w:r>
      <w:r w:rsidRPr="00522D65">
        <w:rPr>
          <w:rFonts w:cstheme="minorHAnsi"/>
          <w:sz w:val="20"/>
          <w:szCs w:val="20"/>
        </w:rPr>
        <w:t>diversas disposiciones del decreto que autoriza la creación del Fideicomiso Público para el Desarrollo del Turismo de Reuniones en Yucatán, donde se creó una entidad de la Administración Pública Paraestatal.</w:t>
      </w:r>
    </w:p>
    <w:p w:rsidR="006544B4" w:rsidRPr="00522D65" w:rsidRDefault="006544B4" w:rsidP="00AA1395">
      <w:pPr>
        <w:jc w:val="both"/>
        <w:rPr>
          <w:rFonts w:cstheme="minorHAnsi"/>
          <w:b/>
          <w:sz w:val="20"/>
          <w:szCs w:val="20"/>
        </w:rPr>
      </w:pPr>
      <w:r w:rsidRPr="00522D65">
        <w:rPr>
          <w:rFonts w:cstheme="minorHAnsi"/>
          <w:sz w:val="20"/>
          <w:szCs w:val="20"/>
        </w:rPr>
        <w:t xml:space="preserve">Cabe señalar que el Fideicomiso Público para el Desarrollo del Turismo de Reuniones en Yucatán inició operaciones en el mes de abril de 2018. </w:t>
      </w:r>
    </w:p>
    <w:p w:rsidR="005B06B5" w:rsidRPr="00522D65" w:rsidRDefault="005B06B5" w:rsidP="00AA1395">
      <w:pPr>
        <w:jc w:val="both"/>
        <w:rPr>
          <w:rFonts w:cstheme="minorHAnsi"/>
          <w:b/>
          <w:sz w:val="20"/>
          <w:szCs w:val="20"/>
        </w:rPr>
      </w:pPr>
      <w:r w:rsidRPr="00522D65">
        <w:rPr>
          <w:rFonts w:cstheme="minorHAnsi"/>
          <w:b/>
          <w:sz w:val="20"/>
          <w:szCs w:val="20"/>
        </w:rPr>
        <w:t>4. Organización y Objeto Social</w:t>
      </w:r>
    </w:p>
    <w:p w:rsidR="007158EC" w:rsidRPr="00522D65" w:rsidRDefault="007158EC" w:rsidP="00AA1395">
      <w:pPr>
        <w:jc w:val="both"/>
        <w:rPr>
          <w:rFonts w:cstheme="minorHAnsi"/>
          <w:sz w:val="20"/>
          <w:szCs w:val="20"/>
        </w:rPr>
      </w:pPr>
      <w:r w:rsidRPr="00522D65">
        <w:rPr>
          <w:rFonts w:cstheme="minorHAnsi"/>
          <w:sz w:val="20"/>
          <w:szCs w:val="20"/>
        </w:rPr>
        <w:t>El fideicomiso público es una entidad paraestatal, con personalidad jurídica y patrimonio propios, que tiene por objeto la conducción y promoción de la política pública en materia de turismo de reuniones en el estado, así como la administración, operación y comercialización de los recintos, y de sus servicios conexos, con los que cuente para el desarrollo de esta.</w:t>
      </w:r>
    </w:p>
    <w:p w:rsidR="007158EC" w:rsidRPr="00522D65" w:rsidRDefault="007158EC" w:rsidP="00AA1395">
      <w:pPr>
        <w:jc w:val="both"/>
        <w:rPr>
          <w:rFonts w:cstheme="minorHAnsi"/>
          <w:sz w:val="20"/>
          <w:szCs w:val="20"/>
        </w:rPr>
      </w:pPr>
      <w:r w:rsidRPr="00522D65">
        <w:rPr>
          <w:rFonts w:cstheme="minorHAnsi"/>
          <w:sz w:val="20"/>
          <w:szCs w:val="20"/>
        </w:rPr>
        <w:t>Como parte de los fines del fideicomiso, se realiza el contrato número F/2003958, con la institución financiera Banco Santander (México), SA Institución de Banca Múltiple, Grupo Financiero Santander, como fiduciaria y como fideicomitente el Gobierno del Estado de Yucatán, representado por la Secretaría de Administración y Finanzas.</w:t>
      </w:r>
    </w:p>
    <w:p w:rsidR="007158EC" w:rsidRPr="00522D65" w:rsidRDefault="007158EC" w:rsidP="00AA1395">
      <w:pPr>
        <w:autoSpaceDE w:val="0"/>
        <w:jc w:val="both"/>
        <w:rPr>
          <w:rFonts w:cstheme="minorHAnsi"/>
          <w:sz w:val="20"/>
          <w:szCs w:val="20"/>
        </w:rPr>
      </w:pPr>
      <w:r w:rsidRPr="00522D65">
        <w:rPr>
          <w:rFonts w:cstheme="minorHAnsi"/>
          <w:sz w:val="20"/>
          <w:szCs w:val="20"/>
        </w:rPr>
        <w:t>El Fideicomiso Público para el Desarrollo del Turismo de Reuniones en Yucatán, inicia su ejercicio fiscal el día 1</w:t>
      </w:r>
      <w:r w:rsidR="009A66E6">
        <w:rPr>
          <w:rFonts w:cstheme="minorHAnsi"/>
          <w:sz w:val="20"/>
          <w:szCs w:val="20"/>
        </w:rPr>
        <w:t xml:space="preserve"> de e</w:t>
      </w:r>
      <w:r w:rsidRPr="00522D65">
        <w:rPr>
          <w:rFonts w:cstheme="minorHAnsi"/>
          <w:sz w:val="20"/>
          <w:szCs w:val="20"/>
        </w:rPr>
        <w:t>nero y lo cierra el día 31</w:t>
      </w:r>
      <w:r w:rsidR="009A66E6">
        <w:rPr>
          <w:rFonts w:cstheme="minorHAnsi"/>
          <w:sz w:val="20"/>
          <w:szCs w:val="20"/>
        </w:rPr>
        <w:t xml:space="preserve"> de d</w:t>
      </w:r>
      <w:r w:rsidRPr="00522D65">
        <w:rPr>
          <w:rFonts w:cstheme="minorHAnsi"/>
          <w:sz w:val="20"/>
          <w:szCs w:val="20"/>
        </w:rPr>
        <w:t>iciembre de cada año.</w:t>
      </w:r>
    </w:p>
    <w:p w:rsidR="00D021D8" w:rsidRPr="00522D65" w:rsidRDefault="00D021D8" w:rsidP="00AA1395">
      <w:pPr>
        <w:autoSpaceDE w:val="0"/>
        <w:jc w:val="both"/>
        <w:rPr>
          <w:rFonts w:cstheme="minorHAnsi"/>
          <w:sz w:val="20"/>
          <w:szCs w:val="20"/>
        </w:rPr>
      </w:pPr>
      <w:r w:rsidRPr="00522D65">
        <w:rPr>
          <w:rFonts w:cstheme="minorHAnsi"/>
          <w:sz w:val="20"/>
          <w:szCs w:val="20"/>
        </w:rPr>
        <w:t>El Fideicomiso se encuentra regulado por:</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Decreto de creación del Fideicomiso Público para el Desarrollo del Turismo de Reuniones en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Decreto de modificación del Fideicomiso Público para el Desarrollo del Turismo de Reuniones en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Constitución Política de los Estados Unidos Mexicanos.</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Constitución Política del Estado de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Código de Administración Pública del Estado de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Reglamento del Código de la Administración Pública del Estado de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Ley del Presupuesto y Contabilidad Gubernamental del Estado de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Ley General de Contabilidad Gubernamental.</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Ley de Disciplina Financiera de las Entidades Federativas y los Municipios</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Ley de Responsabilidades de los Servidores Públicos del Estado de Yucatán.</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 xml:space="preserve">Ley de Adquisiciones, Arrendamientos, y Prestaciones de Servicios Relacionados con Bienes Muebles. </w:t>
      </w:r>
    </w:p>
    <w:p w:rsidR="00D021D8" w:rsidRPr="00522D65" w:rsidRDefault="00D021D8" w:rsidP="00AA1395">
      <w:pPr>
        <w:pStyle w:val="Prrafodelista"/>
        <w:numPr>
          <w:ilvl w:val="0"/>
          <w:numId w:val="5"/>
        </w:numPr>
        <w:tabs>
          <w:tab w:val="left" w:pos="284"/>
        </w:tabs>
        <w:autoSpaceDE w:val="0"/>
        <w:spacing w:after="0" w:line="240" w:lineRule="auto"/>
        <w:ind w:left="0" w:firstLine="0"/>
        <w:jc w:val="both"/>
        <w:rPr>
          <w:rFonts w:cstheme="minorHAnsi"/>
          <w:sz w:val="20"/>
          <w:szCs w:val="20"/>
        </w:rPr>
      </w:pPr>
      <w:r w:rsidRPr="00522D65">
        <w:rPr>
          <w:rFonts w:cstheme="minorHAnsi"/>
          <w:sz w:val="20"/>
          <w:szCs w:val="20"/>
        </w:rPr>
        <w:t>Ley General de Transparencia y Acceso a la Información Pública.</w:t>
      </w:r>
    </w:p>
    <w:p w:rsidR="00D021D8" w:rsidRPr="00522D65" w:rsidRDefault="00D021D8" w:rsidP="00AA1395">
      <w:pPr>
        <w:autoSpaceDE w:val="0"/>
        <w:jc w:val="both"/>
        <w:rPr>
          <w:rFonts w:cstheme="minorHAnsi"/>
          <w:b/>
          <w:sz w:val="20"/>
          <w:szCs w:val="20"/>
        </w:rPr>
      </w:pPr>
    </w:p>
    <w:p w:rsidR="00D021D8" w:rsidRPr="00522D65" w:rsidRDefault="00D021D8" w:rsidP="00AA1395">
      <w:pPr>
        <w:autoSpaceDE w:val="0"/>
        <w:jc w:val="both"/>
        <w:rPr>
          <w:rFonts w:cstheme="minorHAnsi"/>
          <w:sz w:val="20"/>
          <w:szCs w:val="20"/>
        </w:rPr>
      </w:pPr>
      <w:r w:rsidRPr="00522D65">
        <w:rPr>
          <w:rFonts w:cstheme="minorHAnsi"/>
          <w:sz w:val="20"/>
          <w:szCs w:val="20"/>
        </w:rPr>
        <w:t xml:space="preserve">El Fideicomiso se encuentra bajo el </w:t>
      </w:r>
      <w:r w:rsidR="007F280A" w:rsidRPr="00522D65">
        <w:rPr>
          <w:rFonts w:cstheme="minorHAnsi"/>
          <w:sz w:val="20"/>
          <w:szCs w:val="20"/>
        </w:rPr>
        <w:t>Régimen</w:t>
      </w:r>
      <w:r w:rsidRPr="00522D65">
        <w:rPr>
          <w:rFonts w:cstheme="minorHAnsi"/>
          <w:sz w:val="20"/>
          <w:szCs w:val="20"/>
        </w:rPr>
        <w:t xml:space="preserve"> General de Personas Morales. Para tal efecto, está obligado al pago del Impuesto Sobre la Renta y a retener el Impuesto Sobre la Renta por la prestación de un servicio personal subordinado, por la prestación de un servicio profesional y arrendamiento de inmuebles.</w:t>
      </w:r>
    </w:p>
    <w:p w:rsidR="00522D65" w:rsidRPr="00522D65" w:rsidRDefault="00522D65" w:rsidP="00AA1395">
      <w:pPr>
        <w:jc w:val="both"/>
        <w:rPr>
          <w:rFonts w:cstheme="minorHAnsi"/>
          <w:b/>
          <w:sz w:val="20"/>
          <w:szCs w:val="20"/>
        </w:rPr>
      </w:pPr>
      <w:r w:rsidRPr="00522D65">
        <w:rPr>
          <w:rFonts w:cstheme="minorHAnsi"/>
          <w:b/>
          <w:sz w:val="20"/>
          <w:szCs w:val="20"/>
        </w:rPr>
        <w:t>El comité técnico estará integrado por:</w:t>
      </w:r>
    </w:p>
    <w:p w:rsidR="00522D65" w:rsidRPr="00522D65" w:rsidRDefault="00522D65" w:rsidP="00AA1395">
      <w:pPr>
        <w:spacing w:after="0"/>
        <w:jc w:val="both"/>
        <w:rPr>
          <w:rFonts w:cstheme="minorHAnsi"/>
          <w:sz w:val="20"/>
          <w:szCs w:val="20"/>
        </w:rPr>
      </w:pPr>
      <w:r w:rsidRPr="00522D65">
        <w:rPr>
          <w:rFonts w:cstheme="minorHAnsi"/>
          <w:sz w:val="20"/>
          <w:szCs w:val="20"/>
        </w:rPr>
        <w:t>I. El gobernador, quien será el presidente.</w:t>
      </w:r>
    </w:p>
    <w:p w:rsidR="00522D65" w:rsidRPr="00522D65" w:rsidRDefault="00522D65" w:rsidP="00AA1395">
      <w:pPr>
        <w:spacing w:after="0"/>
        <w:jc w:val="both"/>
        <w:rPr>
          <w:rFonts w:cstheme="minorHAnsi"/>
          <w:sz w:val="20"/>
          <w:szCs w:val="20"/>
        </w:rPr>
      </w:pPr>
      <w:r w:rsidRPr="00522D65">
        <w:rPr>
          <w:rFonts w:cstheme="minorHAnsi"/>
          <w:sz w:val="20"/>
          <w:szCs w:val="20"/>
        </w:rPr>
        <w:t>II. El secretario general de Gobierno.</w:t>
      </w:r>
    </w:p>
    <w:p w:rsidR="00522D65" w:rsidRPr="00522D65" w:rsidRDefault="00522D65" w:rsidP="00AA1395">
      <w:pPr>
        <w:spacing w:after="0"/>
        <w:jc w:val="both"/>
        <w:rPr>
          <w:rFonts w:cstheme="minorHAnsi"/>
          <w:sz w:val="20"/>
          <w:szCs w:val="20"/>
        </w:rPr>
      </w:pPr>
      <w:r w:rsidRPr="00522D65">
        <w:rPr>
          <w:rFonts w:cstheme="minorHAnsi"/>
          <w:sz w:val="20"/>
          <w:szCs w:val="20"/>
        </w:rPr>
        <w:t>III. El secretario de Administración y Finanzas.</w:t>
      </w:r>
    </w:p>
    <w:p w:rsidR="00522D65" w:rsidRPr="00522D65" w:rsidRDefault="00522D65" w:rsidP="00AA1395">
      <w:pPr>
        <w:spacing w:after="0"/>
        <w:jc w:val="both"/>
        <w:rPr>
          <w:rFonts w:cstheme="minorHAnsi"/>
          <w:sz w:val="20"/>
          <w:szCs w:val="20"/>
        </w:rPr>
      </w:pPr>
      <w:r w:rsidRPr="00522D65">
        <w:rPr>
          <w:rFonts w:cstheme="minorHAnsi"/>
          <w:sz w:val="20"/>
          <w:szCs w:val="20"/>
        </w:rPr>
        <w:t xml:space="preserve">IV. El secretario de Fomento Económico. </w:t>
      </w:r>
    </w:p>
    <w:p w:rsidR="00522D65" w:rsidRPr="00522D65" w:rsidRDefault="00522D65" w:rsidP="00AA1395">
      <w:pPr>
        <w:spacing w:after="0"/>
        <w:jc w:val="both"/>
        <w:rPr>
          <w:rFonts w:cstheme="minorHAnsi"/>
          <w:sz w:val="20"/>
          <w:szCs w:val="20"/>
        </w:rPr>
      </w:pPr>
      <w:r w:rsidRPr="00522D65">
        <w:rPr>
          <w:rFonts w:cstheme="minorHAnsi"/>
          <w:sz w:val="20"/>
          <w:szCs w:val="20"/>
        </w:rPr>
        <w:t>V. El secretario de Fomento Turístico.</w:t>
      </w:r>
    </w:p>
    <w:p w:rsidR="00522D65" w:rsidRPr="00522D65" w:rsidRDefault="00522D65" w:rsidP="00AA1395">
      <w:pPr>
        <w:spacing w:after="0"/>
        <w:jc w:val="both"/>
        <w:rPr>
          <w:rFonts w:cstheme="minorHAnsi"/>
          <w:sz w:val="20"/>
          <w:szCs w:val="20"/>
        </w:rPr>
      </w:pPr>
      <w:r w:rsidRPr="00522D65">
        <w:rPr>
          <w:rFonts w:cstheme="minorHAnsi"/>
          <w:sz w:val="20"/>
          <w:szCs w:val="20"/>
        </w:rPr>
        <w:t>VI. El director general del Patronato de las U</w:t>
      </w:r>
      <w:r>
        <w:rPr>
          <w:rFonts w:cstheme="minorHAnsi"/>
          <w:sz w:val="20"/>
          <w:szCs w:val="20"/>
        </w:rPr>
        <w:t xml:space="preserve">nidades de Servicios Culturales y Turísticos del Estado de </w:t>
      </w:r>
      <w:r w:rsidRPr="00522D65">
        <w:rPr>
          <w:rFonts w:cstheme="minorHAnsi"/>
          <w:sz w:val="20"/>
          <w:szCs w:val="20"/>
        </w:rPr>
        <w:t>Yucatán.</w:t>
      </w:r>
    </w:p>
    <w:p w:rsidR="00522D65" w:rsidRPr="00522D65" w:rsidRDefault="00522D65" w:rsidP="00AA1395">
      <w:pPr>
        <w:spacing w:after="0"/>
        <w:jc w:val="both"/>
        <w:rPr>
          <w:rFonts w:cstheme="minorHAnsi"/>
          <w:sz w:val="20"/>
          <w:szCs w:val="20"/>
        </w:rPr>
      </w:pPr>
      <w:r w:rsidRPr="00522D65">
        <w:rPr>
          <w:rFonts w:cstheme="minorHAnsi"/>
          <w:sz w:val="20"/>
          <w:szCs w:val="20"/>
        </w:rPr>
        <w:t>VII. El presidente de la Confederación Pat</w:t>
      </w:r>
      <w:r>
        <w:rPr>
          <w:rFonts w:cstheme="minorHAnsi"/>
          <w:sz w:val="20"/>
          <w:szCs w:val="20"/>
        </w:rPr>
        <w:t>ronal de la República Mexicana,</w:t>
      </w:r>
      <w:r w:rsidR="003C6527">
        <w:rPr>
          <w:rFonts w:cstheme="minorHAnsi"/>
          <w:sz w:val="20"/>
          <w:szCs w:val="20"/>
        </w:rPr>
        <w:t xml:space="preserve"> </w:t>
      </w:r>
      <w:r>
        <w:rPr>
          <w:rFonts w:cstheme="minorHAnsi"/>
          <w:sz w:val="20"/>
          <w:szCs w:val="20"/>
        </w:rPr>
        <w:t>Mérida</w:t>
      </w:r>
      <w:r w:rsidRPr="00522D65">
        <w:rPr>
          <w:rFonts w:cstheme="minorHAnsi"/>
          <w:sz w:val="20"/>
          <w:szCs w:val="20"/>
        </w:rPr>
        <w:t>.</w:t>
      </w:r>
    </w:p>
    <w:p w:rsidR="00522D65" w:rsidRPr="00522D65" w:rsidRDefault="00522D65" w:rsidP="00AA1395">
      <w:pPr>
        <w:spacing w:after="0"/>
        <w:jc w:val="both"/>
        <w:rPr>
          <w:rFonts w:cstheme="minorHAnsi"/>
          <w:sz w:val="20"/>
          <w:szCs w:val="20"/>
        </w:rPr>
      </w:pPr>
      <w:r w:rsidRPr="00522D65">
        <w:rPr>
          <w:rFonts w:cstheme="minorHAnsi"/>
          <w:sz w:val="20"/>
          <w:szCs w:val="20"/>
        </w:rPr>
        <w:t>VIII. El presidente de la Cámara Nacional d</w:t>
      </w:r>
      <w:r>
        <w:rPr>
          <w:rFonts w:cstheme="minorHAnsi"/>
          <w:sz w:val="20"/>
          <w:szCs w:val="20"/>
        </w:rPr>
        <w:t xml:space="preserve">e Comercio, Servicios y Turismo </w:t>
      </w:r>
      <w:r w:rsidRPr="00522D65">
        <w:rPr>
          <w:rFonts w:cstheme="minorHAnsi"/>
          <w:sz w:val="20"/>
          <w:szCs w:val="20"/>
        </w:rPr>
        <w:t>de Mérida.</w:t>
      </w:r>
    </w:p>
    <w:p w:rsidR="00522D65" w:rsidRPr="00522D65" w:rsidRDefault="00522D65" w:rsidP="00AA1395">
      <w:pPr>
        <w:spacing w:after="0"/>
        <w:jc w:val="both"/>
        <w:rPr>
          <w:rFonts w:cstheme="minorHAnsi"/>
          <w:sz w:val="20"/>
          <w:szCs w:val="20"/>
        </w:rPr>
      </w:pPr>
      <w:r w:rsidRPr="00522D65">
        <w:rPr>
          <w:rFonts w:cstheme="minorHAnsi"/>
          <w:sz w:val="20"/>
          <w:szCs w:val="20"/>
        </w:rPr>
        <w:t>IX. El presidente de la Asociación Mexicana de Hoteles en Yucatán, A. C.</w:t>
      </w:r>
    </w:p>
    <w:p w:rsidR="00522D65" w:rsidRPr="00522D65" w:rsidRDefault="00522D65" w:rsidP="00AA1395">
      <w:pPr>
        <w:spacing w:after="0"/>
        <w:jc w:val="both"/>
        <w:rPr>
          <w:rFonts w:cstheme="minorHAnsi"/>
          <w:sz w:val="20"/>
          <w:szCs w:val="20"/>
        </w:rPr>
      </w:pPr>
      <w:r w:rsidRPr="00522D65">
        <w:rPr>
          <w:rFonts w:cstheme="minorHAnsi"/>
          <w:sz w:val="20"/>
          <w:szCs w:val="20"/>
        </w:rPr>
        <w:t>X. El director regional del Grupo Aeroportuario del Sureste, S. A.</w:t>
      </w:r>
    </w:p>
    <w:p w:rsidR="00522D65" w:rsidRPr="00522D65" w:rsidRDefault="00522D65" w:rsidP="00AA1395">
      <w:pPr>
        <w:spacing w:after="0"/>
        <w:jc w:val="both"/>
        <w:rPr>
          <w:rFonts w:cstheme="minorHAnsi"/>
          <w:sz w:val="20"/>
          <w:szCs w:val="20"/>
        </w:rPr>
      </w:pPr>
      <w:r w:rsidRPr="00522D65">
        <w:rPr>
          <w:rFonts w:cstheme="minorHAnsi"/>
          <w:sz w:val="20"/>
          <w:szCs w:val="20"/>
        </w:rPr>
        <w:t>XI. Un representante de una empresa relaciona</w:t>
      </w:r>
      <w:r>
        <w:rPr>
          <w:rFonts w:cstheme="minorHAnsi"/>
          <w:sz w:val="20"/>
          <w:szCs w:val="20"/>
        </w:rPr>
        <w:t xml:space="preserve">da con el turismo de </w:t>
      </w:r>
      <w:r w:rsidRPr="00522D65">
        <w:rPr>
          <w:rFonts w:cstheme="minorHAnsi"/>
          <w:sz w:val="20"/>
          <w:szCs w:val="20"/>
        </w:rPr>
        <w:t xml:space="preserve">reuniones, certificada como </w:t>
      </w:r>
      <w:proofErr w:type="spellStart"/>
      <w:r w:rsidRPr="00522D65">
        <w:rPr>
          <w:rFonts w:cstheme="minorHAnsi"/>
          <w:sz w:val="20"/>
          <w:szCs w:val="20"/>
        </w:rPr>
        <w:t>Destination</w:t>
      </w:r>
      <w:proofErr w:type="spellEnd"/>
      <w:r w:rsidRPr="00522D65">
        <w:rPr>
          <w:rFonts w:cstheme="minorHAnsi"/>
          <w:sz w:val="20"/>
          <w:szCs w:val="20"/>
        </w:rPr>
        <w:t xml:space="preserve"> Man</w:t>
      </w:r>
      <w:r>
        <w:rPr>
          <w:rFonts w:cstheme="minorHAnsi"/>
          <w:sz w:val="20"/>
          <w:szCs w:val="20"/>
        </w:rPr>
        <w:t xml:space="preserve">agement Company, y seleccionada </w:t>
      </w:r>
      <w:r w:rsidRPr="00522D65">
        <w:rPr>
          <w:rFonts w:cstheme="minorHAnsi"/>
          <w:sz w:val="20"/>
          <w:szCs w:val="20"/>
        </w:rPr>
        <w:t>por el Consejo Empresarial Turístico de Yu</w:t>
      </w:r>
      <w:r>
        <w:rPr>
          <w:rFonts w:cstheme="minorHAnsi"/>
          <w:sz w:val="20"/>
          <w:szCs w:val="20"/>
        </w:rPr>
        <w:t xml:space="preserve">catán, A. C. o la Asociación de </w:t>
      </w:r>
      <w:r w:rsidRPr="00522D65">
        <w:rPr>
          <w:rFonts w:cstheme="minorHAnsi"/>
          <w:sz w:val="20"/>
          <w:szCs w:val="20"/>
        </w:rPr>
        <w:t>Agencias Promotoras de Turismo de Yucatán, A. C., de entre sus asociadas.</w:t>
      </w:r>
    </w:p>
    <w:p w:rsidR="005B06B5" w:rsidRDefault="00522D65" w:rsidP="00AA1395">
      <w:pPr>
        <w:spacing w:after="0"/>
        <w:jc w:val="both"/>
        <w:rPr>
          <w:rFonts w:cstheme="minorHAnsi"/>
          <w:sz w:val="20"/>
          <w:szCs w:val="20"/>
        </w:rPr>
      </w:pPr>
      <w:r w:rsidRPr="00522D65">
        <w:rPr>
          <w:rFonts w:cstheme="minorHAnsi"/>
          <w:sz w:val="20"/>
          <w:szCs w:val="20"/>
        </w:rPr>
        <w:t xml:space="preserve">XII. El gerente general o director de </w:t>
      </w:r>
      <w:r>
        <w:rPr>
          <w:rFonts w:cstheme="minorHAnsi"/>
          <w:sz w:val="20"/>
          <w:szCs w:val="20"/>
        </w:rPr>
        <w:t xml:space="preserve">algún hotel gran turismo que se </w:t>
      </w:r>
      <w:r w:rsidRPr="00522D65">
        <w:rPr>
          <w:rFonts w:cstheme="minorHAnsi"/>
          <w:sz w:val="20"/>
          <w:szCs w:val="20"/>
        </w:rPr>
        <w:t>encuentre operando en el estado.</w:t>
      </w:r>
    </w:p>
    <w:p w:rsidR="009A66E6" w:rsidRPr="00522D65" w:rsidRDefault="009A66E6" w:rsidP="00AA1395">
      <w:pPr>
        <w:spacing w:after="0"/>
        <w:jc w:val="both"/>
        <w:rPr>
          <w:rFonts w:cstheme="minorHAnsi"/>
          <w:sz w:val="20"/>
          <w:szCs w:val="20"/>
        </w:rPr>
      </w:pPr>
    </w:p>
    <w:p w:rsidR="005B06B5" w:rsidRDefault="005B06B5" w:rsidP="00AA1395">
      <w:pPr>
        <w:jc w:val="both"/>
        <w:rPr>
          <w:rFonts w:cstheme="minorHAnsi"/>
          <w:b/>
          <w:sz w:val="20"/>
          <w:szCs w:val="20"/>
        </w:rPr>
      </w:pPr>
      <w:r w:rsidRPr="00522D65">
        <w:rPr>
          <w:rFonts w:cstheme="minorHAnsi"/>
          <w:b/>
          <w:sz w:val="20"/>
          <w:szCs w:val="20"/>
        </w:rPr>
        <w:t>5. Bases de Preparación de los Estados Financieros</w:t>
      </w:r>
    </w:p>
    <w:p w:rsidR="00522D65" w:rsidRPr="00853E3D" w:rsidRDefault="00522D65" w:rsidP="00AA1395">
      <w:pPr>
        <w:tabs>
          <w:tab w:val="left" w:pos="284"/>
        </w:tabs>
        <w:jc w:val="both"/>
        <w:rPr>
          <w:rFonts w:ascii="Calibri" w:hAnsi="Calibri"/>
          <w:sz w:val="20"/>
          <w:szCs w:val="20"/>
        </w:rPr>
      </w:pPr>
      <w:r w:rsidRPr="00853E3D">
        <w:rPr>
          <w:rFonts w:ascii="Calibri" w:hAnsi="Calibri"/>
          <w:sz w:val="20"/>
          <w:szCs w:val="20"/>
        </w:rPr>
        <w:t>Los Estados Financi</w:t>
      </w:r>
      <w:r w:rsidR="007F280A">
        <w:rPr>
          <w:rFonts w:ascii="Calibri" w:hAnsi="Calibri"/>
          <w:sz w:val="20"/>
          <w:szCs w:val="20"/>
        </w:rPr>
        <w:t>eros a partir del ejercicio</w:t>
      </w:r>
      <w:r w:rsidRPr="00853E3D">
        <w:rPr>
          <w:rFonts w:ascii="Calibri" w:hAnsi="Calibri"/>
          <w:sz w:val="20"/>
          <w:szCs w:val="20"/>
        </w:rPr>
        <w:t>, son elaborados con base en la Ley General de Contabilidad Gubernamental, las Normas de Información Financiera, emitidas por el Consejo Mexicano para la Investigación y Desarrollo de Normas de Información Financiera A.C. (CINIF) y tomando los lineamientos del Consejo Nacional de</w:t>
      </w:r>
      <w:r w:rsidR="00845339">
        <w:rPr>
          <w:rFonts w:ascii="Calibri" w:hAnsi="Calibri"/>
          <w:sz w:val="20"/>
          <w:szCs w:val="20"/>
        </w:rPr>
        <w:t xml:space="preserve"> Armonización Contable (CONAC).</w:t>
      </w:r>
    </w:p>
    <w:p w:rsidR="00522D65" w:rsidRPr="00853E3D" w:rsidRDefault="00522D65" w:rsidP="00AA1395">
      <w:pPr>
        <w:tabs>
          <w:tab w:val="left" w:pos="284"/>
        </w:tabs>
        <w:jc w:val="both"/>
        <w:rPr>
          <w:rFonts w:ascii="Calibri" w:hAnsi="Calibri"/>
          <w:sz w:val="20"/>
          <w:szCs w:val="20"/>
        </w:rPr>
      </w:pPr>
      <w:r w:rsidRPr="00853E3D">
        <w:rPr>
          <w:rFonts w:ascii="Calibri" w:hAnsi="Calibri"/>
          <w:sz w:val="20"/>
          <w:szCs w:val="20"/>
        </w:rPr>
        <w:t>De conformidad con el artículo 22 de la Ley General de Contabilidad Gubernamental “… los postulados tienen como objetivo sustentar técnicamente la contabilidad gubernamental, así como organizar la efectiva sistematización que permita la obtención de infor</w:t>
      </w:r>
      <w:r>
        <w:rPr>
          <w:rFonts w:ascii="Calibri" w:hAnsi="Calibri"/>
          <w:sz w:val="20"/>
          <w:szCs w:val="20"/>
        </w:rPr>
        <w:t>mación veraz, clara y concisa”.</w:t>
      </w:r>
    </w:p>
    <w:p w:rsidR="00522D65" w:rsidRPr="00853E3D" w:rsidRDefault="00522D65" w:rsidP="00AA1395">
      <w:pPr>
        <w:tabs>
          <w:tab w:val="left" w:pos="284"/>
        </w:tabs>
        <w:jc w:val="both"/>
        <w:rPr>
          <w:rFonts w:ascii="Calibri" w:hAnsi="Calibri"/>
          <w:sz w:val="20"/>
          <w:szCs w:val="20"/>
        </w:rPr>
      </w:pPr>
      <w:r w:rsidRPr="00853E3D">
        <w:rPr>
          <w:rFonts w:ascii="Calibri" w:hAnsi="Calibri"/>
          <w:sz w:val="20"/>
          <w:szCs w:val="20"/>
        </w:rPr>
        <w:t>Postulados básicos de la Contabilidad Gubern</w:t>
      </w:r>
      <w:r>
        <w:rPr>
          <w:rFonts w:ascii="Calibri" w:hAnsi="Calibri"/>
          <w:sz w:val="20"/>
          <w:szCs w:val="20"/>
        </w:rPr>
        <w:t>amental aprobados por la CONAC:</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Sustancia Económica.</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Entes Públicos.</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Existencia Permanente.</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Revelación Suficiente.</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Importancia Relativa.</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Registro e Integración Presupuestaria.</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Consolidación de la Información Financiera.</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Devengo Contable.</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Valuación.</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Dualidad Económica.</w:t>
      </w:r>
    </w:p>
    <w:p w:rsidR="00522D65" w:rsidRPr="00853E3D" w:rsidRDefault="00522D65" w:rsidP="00AA1395">
      <w:pPr>
        <w:pStyle w:val="Prrafodelista"/>
        <w:numPr>
          <w:ilvl w:val="0"/>
          <w:numId w:val="6"/>
        </w:numPr>
        <w:tabs>
          <w:tab w:val="left" w:pos="284"/>
        </w:tabs>
        <w:spacing w:after="0" w:line="240" w:lineRule="auto"/>
        <w:ind w:left="0" w:firstLine="0"/>
        <w:jc w:val="both"/>
        <w:rPr>
          <w:rFonts w:ascii="Calibri" w:hAnsi="Calibri"/>
          <w:sz w:val="20"/>
          <w:szCs w:val="20"/>
        </w:rPr>
      </w:pPr>
      <w:r w:rsidRPr="00853E3D">
        <w:rPr>
          <w:rFonts w:ascii="Calibri" w:hAnsi="Calibri"/>
          <w:sz w:val="20"/>
          <w:szCs w:val="20"/>
        </w:rPr>
        <w:t>Consistencia.</w:t>
      </w:r>
    </w:p>
    <w:p w:rsidR="00522D65" w:rsidRPr="00853E3D" w:rsidRDefault="00522D65" w:rsidP="00AA1395">
      <w:pPr>
        <w:pStyle w:val="Prrafodelista"/>
        <w:tabs>
          <w:tab w:val="left" w:pos="284"/>
        </w:tabs>
        <w:ind w:left="0"/>
        <w:jc w:val="both"/>
        <w:rPr>
          <w:rFonts w:ascii="Calibri" w:hAnsi="Calibri"/>
          <w:sz w:val="20"/>
          <w:szCs w:val="20"/>
        </w:rPr>
      </w:pPr>
    </w:p>
    <w:p w:rsidR="00522D65" w:rsidRPr="00853E3D" w:rsidRDefault="007F280A" w:rsidP="00AA1395">
      <w:pPr>
        <w:pStyle w:val="Prrafodelista"/>
        <w:tabs>
          <w:tab w:val="left" w:pos="284"/>
        </w:tabs>
        <w:ind w:left="0"/>
        <w:jc w:val="both"/>
        <w:rPr>
          <w:rFonts w:ascii="Calibri" w:hAnsi="Calibri"/>
          <w:sz w:val="20"/>
          <w:szCs w:val="20"/>
        </w:rPr>
      </w:pPr>
      <w:r>
        <w:rPr>
          <w:rFonts w:ascii="Calibri" w:hAnsi="Calibri"/>
          <w:sz w:val="20"/>
          <w:szCs w:val="20"/>
        </w:rPr>
        <w:lastRenderedPageBreak/>
        <w:t xml:space="preserve">En forma supletoria </w:t>
      </w:r>
      <w:r w:rsidR="00522D65" w:rsidRPr="00853E3D">
        <w:rPr>
          <w:rFonts w:ascii="Calibri" w:hAnsi="Calibri"/>
          <w:sz w:val="20"/>
          <w:szCs w:val="20"/>
        </w:rPr>
        <w:t>a las Normas de la Ley General de Contabilidad Gubernamental y a las emitidas por la CONAC se aplicarán las siguientes:</w:t>
      </w:r>
    </w:p>
    <w:p w:rsidR="00522D65" w:rsidRPr="00853E3D" w:rsidRDefault="00522D65" w:rsidP="00AA1395">
      <w:pPr>
        <w:pStyle w:val="Prrafodelista"/>
        <w:tabs>
          <w:tab w:val="left" w:pos="284"/>
        </w:tabs>
        <w:ind w:left="0"/>
        <w:jc w:val="both"/>
        <w:rPr>
          <w:rFonts w:ascii="Calibri" w:hAnsi="Calibri"/>
          <w:sz w:val="20"/>
          <w:szCs w:val="20"/>
        </w:rPr>
      </w:pPr>
    </w:p>
    <w:p w:rsidR="00522D65" w:rsidRPr="00853E3D" w:rsidRDefault="003C4A26" w:rsidP="00AA1395">
      <w:pPr>
        <w:pStyle w:val="Prrafodelista"/>
        <w:numPr>
          <w:ilvl w:val="0"/>
          <w:numId w:val="7"/>
        </w:numPr>
        <w:tabs>
          <w:tab w:val="left" w:pos="284"/>
        </w:tabs>
        <w:spacing w:after="0" w:line="240" w:lineRule="auto"/>
        <w:ind w:left="284" w:hanging="284"/>
        <w:jc w:val="both"/>
        <w:rPr>
          <w:rFonts w:ascii="Calibri" w:hAnsi="Calibri"/>
          <w:sz w:val="20"/>
          <w:szCs w:val="20"/>
        </w:rPr>
      </w:pPr>
      <w:r>
        <w:rPr>
          <w:rFonts w:ascii="Calibri" w:hAnsi="Calibri"/>
          <w:sz w:val="20"/>
          <w:szCs w:val="20"/>
        </w:rPr>
        <w:t>Normatividad emitida</w:t>
      </w:r>
      <w:r w:rsidR="00522D65" w:rsidRPr="00853E3D">
        <w:rPr>
          <w:rFonts w:ascii="Calibri" w:hAnsi="Calibri"/>
          <w:sz w:val="20"/>
          <w:szCs w:val="20"/>
        </w:rPr>
        <w:t xml:space="preserve"> por las unidades administrativas o instancias competentes en materia de Contabilidad Gubernamental.</w:t>
      </w:r>
    </w:p>
    <w:p w:rsidR="00522D65" w:rsidRPr="00853E3D" w:rsidRDefault="00522D65" w:rsidP="00AA1395">
      <w:pPr>
        <w:pStyle w:val="Prrafodelista"/>
        <w:numPr>
          <w:ilvl w:val="0"/>
          <w:numId w:val="7"/>
        </w:numPr>
        <w:tabs>
          <w:tab w:val="left" w:pos="284"/>
        </w:tabs>
        <w:spacing w:after="0" w:line="240" w:lineRule="auto"/>
        <w:ind w:left="284" w:hanging="284"/>
        <w:jc w:val="both"/>
        <w:rPr>
          <w:rFonts w:ascii="Calibri" w:hAnsi="Calibri"/>
          <w:sz w:val="20"/>
          <w:szCs w:val="20"/>
        </w:rPr>
      </w:pPr>
      <w:r w:rsidRPr="00853E3D">
        <w:rPr>
          <w:rFonts w:ascii="Calibri" w:hAnsi="Calibri"/>
          <w:sz w:val="20"/>
          <w:szCs w:val="20"/>
        </w:rPr>
        <w:t>Las Normas Internacionales de Contabilidad para el sector público (NICSP) emitidas por la Junta de Normas Internacionales de Contabilidad del Sector Público.</w:t>
      </w:r>
    </w:p>
    <w:p w:rsidR="00522D65" w:rsidRPr="00853E3D" w:rsidRDefault="00522D65" w:rsidP="00AA1395">
      <w:pPr>
        <w:pStyle w:val="Prrafodelista"/>
        <w:numPr>
          <w:ilvl w:val="0"/>
          <w:numId w:val="7"/>
        </w:numPr>
        <w:tabs>
          <w:tab w:val="left" w:pos="284"/>
        </w:tabs>
        <w:spacing w:after="0" w:line="240" w:lineRule="auto"/>
        <w:ind w:left="284" w:hanging="284"/>
        <w:jc w:val="both"/>
        <w:rPr>
          <w:rFonts w:ascii="Calibri" w:hAnsi="Calibri"/>
          <w:sz w:val="20"/>
          <w:szCs w:val="20"/>
        </w:rPr>
      </w:pPr>
      <w:r w:rsidRPr="00853E3D">
        <w:rPr>
          <w:rFonts w:ascii="Calibri" w:hAnsi="Calibri"/>
          <w:sz w:val="20"/>
          <w:szCs w:val="20"/>
        </w:rPr>
        <w:t>Las Normas de Información Financiera del Consejo Mexicano para la Investigación y Desarrollo de Normas de Información Financiera A.C. (CINIF).</w:t>
      </w:r>
    </w:p>
    <w:p w:rsidR="000A10D9" w:rsidRDefault="000A10D9" w:rsidP="00AA1395">
      <w:pPr>
        <w:jc w:val="both"/>
        <w:rPr>
          <w:rFonts w:cstheme="minorHAnsi"/>
          <w:b/>
          <w:sz w:val="20"/>
          <w:szCs w:val="20"/>
        </w:rPr>
      </w:pPr>
    </w:p>
    <w:p w:rsidR="00522D65" w:rsidRPr="007F280A" w:rsidRDefault="00522D65" w:rsidP="00AA1395">
      <w:pPr>
        <w:jc w:val="both"/>
        <w:rPr>
          <w:rFonts w:cstheme="minorHAnsi"/>
          <w:b/>
          <w:sz w:val="20"/>
          <w:szCs w:val="20"/>
        </w:rPr>
      </w:pPr>
      <w:r w:rsidRPr="007F280A">
        <w:rPr>
          <w:rFonts w:cstheme="minorHAnsi"/>
          <w:b/>
          <w:sz w:val="20"/>
          <w:szCs w:val="20"/>
        </w:rPr>
        <w:t>6. Políticas de Contabilidad Significativas</w:t>
      </w:r>
    </w:p>
    <w:p w:rsidR="00522D65" w:rsidRPr="000C797D" w:rsidRDefault="00522D65" w:rsidP="000C797D">
      <w:pPr>
        <w:pStyle w:val="Prrafodelista"/>
        <w:numPr>
          <w:ilvl w:val="0"/>
          <w:numId w:val="17"/>
        </w:numPr>
        <w:tabs>
          <w:tab w:val="left" w:pos="284"/>
        </w:tabs>
        <w:spacing w:after="0" w:line="240" w:lineRule="auto"/>
        <w:jc w:val="both"/>
        <w:rPr>
          <w:rFonts w:ascii="Calibri" w:hAnsi="Calibri"/>
          <w:sz w:val="20"/>
          <w:szCs w:val="20"/>
        </w:rPr>
      </w:pPr>
      <w:r w:rsidRPr="000A10D9">
        <w:rPr>
          <w:rFonts w:ascii="Calibri" w:hAnsi="Calibri"/>
          <w:sz w:val="20"/>
          <w:szCs w:val="20"/>
        </w:rPr>
        <w:t>La información es preparada con base a la Ley General de Contabilidad Gubernamental, que a través del Consejo Nacional de Armonización Contable (CONAC), emite las normas contables y lineamientos para la generación de la información financiera que aplica a los entes públicos.</w:t>
      </w:r>
      <w:r w:rsidR="000C797D">
        <w:rPr>
          <w:rFonts w:ascii="Calibri" w:hAnsi="Calibri"/>
          <w:sz w:val="20"/>
          <w:szCs w:val="20"/>
        </w:rPr>
        <w:t xml:space="preserve"> E</w:t>
      </w:r>
      <w:r w:rsidR="000C797D" w:rsidRPr="000C797D">
        <w:rPr>
          <w:rFonts w:ascii="Calibri" w:hAnsi="Calibri"/>
          <w:sz w:val="20"/>
          <w:szCs w:val="20"/>
        </w:rPr>
        <w:t>n cuanto a que, se indica que es necesario reconocer los efectos de la inflación cuando exista un entorno inflacionario, derivado de lo anterior, no estamos dentro de un entorno inflacionario, por lo cual no se actualiza.</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Pr>
          <w:rFonts w:ascii="Calibri" w:hAnsi="Calibri"/>
          <w:sz w:val="20"/>
          <w:szCs w:val="20"/>
        </w:rPr>
        <w:t>Las operaciones realizadas en el extranjero por el FIDETURE, corresponden a gastos por concepto de viáticos como parte de la Promoción y Difusión del Centro Internacional de Congresos de Yucatán y el Estado como Destino Turístico para el Turismo de Reuniones. Estas operaciones s</w:t>
      </w:r>
      <w:r w:rsidRPr="000C797D">
        <w:rPr>
          <w:rFonts w:ascii="Calibri" w:hAnsi="Calibri"/>
          <w:sz w:val="20"/>
          <w:szCs w:val="20"/>
        </w:rPr>
        <w:t>o</w:t>
      </w:r>
      <w:r>
        <w:rPr>
          <w:rFonts w:ascii="Calibri" w:hAnsi="Calibri"/>
          <w:sz w:val="20"/>
          <w:szCs w:val="20"/>
        </w:rPr>
        <w:t>n registradas con el valor al tipo de cambio del día en que se efectuó.</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Pr>
          <w:rFonts w:ascii="Calibri" w:hAnsi="Calibri"/>
          <w:sz w:val="20"/>
          <w:szCs w:val="20"/>
        </w:rPr>
        <w:t>El Fideicomiso no cuenta con inversiones</w:t>
      </w:r>
      <w:r w:rsidRPr="000C797D">
        <w:rPr>
          <w:rFonts w:ascii="Calibri" w:hAnsi="Calibri"/>
          <w:sz w:val="20"/>
          <w:szCs w:val="20"/>
        </w:rPr>
        <w:t xml:space="preserve"> </w:t>
      </w:r>
      <w:r>
        <w:rPr>
          <w:rFonts w:ascii="Calibri" w:hAnsi="Calibri"/>
          <w:sz w:val="20"/>
          <w:szCs w:val="20"/>
        </w:rPr>
        <w:t>en</w:t>
      </w:r>
      <w:r w:rsidRPr="000C797D">
        <w:rPr>
          <w:rFonts w:ascii="Calibri" w:hAnsi="Calibri"/>
          <w:sz w:val="20"/>
          <w:szCs w:val="20"/>
        </w:rPr>
        <w:t xml:space="preserve"> Compañía</w:t>
      </w:r>
      <w:r>
        <w:rPr>
          <w:rFonts w:ascii="Calibri" w:hAnsi="Calibri"/>
          <w:sz w:val="20"/>
          <w:szCs w:val="20"/>
        </w:rPr>
        <w:t>s subsidiarias no consolidadas o asociadas</w:t>
      </w:r>
      <w:r w:rsidRPr="000C797D">
        <w:rPr>
          <w:rFonts w:ascii="Calibri" w:hAnsi="Calibri"/>
          <w:sz w:val="20"/>
          <w:szCs w:val="20"/>
        </w:rPr>
        <w:t>.</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Pr>
          <w:rFonts w:ascii="Calibri" w:hAnsi="Calibri"/>
          <w:sz w:val="20"/>
          <w:szCs w:val="20"/>
        </w:rPr>
        <w:t>El FIDETURE no cuenta</w:t>
      </w:r>
      <w:r w:rsidRPr="000C797D">
        <w:rPr>
          <w:rFonts w:ascii="Calibri" w:hAnsi="Calibri"/>
          <w:sz w:val="20"/>
          <w:szCs w:val="20"/>
        </w:rPr>
        <w:t xml:space="preserve"> con inventarios de mercancías para venta, por lo que no se cuenta con registro en almacenes.</w:t>
      </w:r>
    </w:p>
    <w:p w:rsidR="002C23BF" w:rsidRDefault="000C797D" w:rsidP="000C797D">
      <w:pPr>
        <w:pStyle w:val="Prrafodelista"/>
        <w:numPr>
          <w:ilvl w:val="0"/>
          <w:numId w:val="17"/>
        </w:numPr>
        <w:tabs>
          <w:tab w:val="left" w:pos="284"/>
        </w:tabs>
        <w:spacing w:after="0" w:line="240" w:lineRule="auto"/>
        <w:jc w:val="both"/>
        <w:rPr>
          <w:rFonts w:ascii="Calibri" w:hAnsi="Calibri"/>
          <w:sz w:val="20"/>
          <w:szCs w:val="20"/>
        </w:rPr>
      </w:pPr>
      <w:r w:rsidRPr="000C797D">
        <w:rPr>
          <w:rFonts w:ascii="Calibri" w:hAnsi="Calibri"/>
          <w:sz w:val="20"/>
          <w:szCs w:val="20"/>
        </w:rPr>
        <w:t>El cálculo de la reserva actuar</w:t>
      </w:r>
      <w:r>
        <w:rPr>
          <w:rFonts w:ascii="Calibri" w:hAnsi="Calibri"/>
          <w:sz w:val="20"/>
          <w:szCs w:val="20"/>
        </w:rPr>
        <w:t>ial, lo realiza el Instituto Mexicano para el Seguro Social (IMSS), organismo al que se encuentran afiliados los trabajadores del FIDETURE.</w:t>
      </w:r>
    </w:p>
    <w:p w:rsidR="000C797D" w:rsidRPr="000C797D" w:rsidRDefault="002C23BF" w:rsidP="000C797D">
      <w:pPr>
        <w:pStyle w:val="Prrafodelista"/>
        <w:numPr>
          <w:ilvl w:val="0"/>
          <w:numId w:val="17"/>
        </w:numPr>
        <w:tabs>
          <w:tab w:val="left" w:pos="284"/>
        </w:tabs>
        <w:spacing w:after="0" w:line="240" w:lineRule="auto"/>
        <w:jc w:val="both"/>
        <w:rPr>
          <w:rFonts w:ascii="Calibri" w:hAnsi="Calibri"/>
          <w:sz w:val="20"/>
          <w:szCs w:val="20"/>
        </w:rPr>
      </w:pPr>
      <w:r>
        <w:rPr>
          <w:rFonts w:ascii="Calibri" w:hAnsi="Calibri"/>
          <w:sz w:val="20"/>
          <w:szCs w:val="20"/>
        </w:rPr>
        <w:t>No se gener</w:t>
      </w:r>
      <w:r w:rsidR="00D07ED8">
        <w:rPr>
          <w:rFonts w:ascii="Calibri" w:hAnsi="Calibri"/>
          <w:sz w:val="20"/>
          <w:szCs w:val="20"/>
        </w:rPr>
        <w:t>an provisiones al 30 de junio</w:t>
      </w:r>
      <w:r w:rsidR="00927A28">
        <w:rPr>
          <w:rFonts w:ascii="Calibri" w:hAnsi="Calibri"/>
          <w:sz w:val="20"/>
          <w:szCs w:val="20"/>
        </w:rPr>
        <w:t xml:space="preserve"> de 2021</w:t>
      </w:r>
      <w:r>
        <w:rPr>
          <w:rFonts w:ascii="Calibri" w:hAnsi="Calibri"/>
          <w:sz w:val="20"/>
          <w:szCs w:val="20"/>
        </w:rPr>
        <w:t>.</w:t>
      </w:r>
      <w:r w:rsidR="000C797D">
        <w:rPr>
          <w:rFonts w:ascii="Calibri" w:hAnsi="Calibri"/>
          <w:sz w:val="20"/>
          <w:szCs w:val="20"/>
        </w:rPr>
        <w:t xml:space="preserve"> </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sidRPr="000C797D">
        <w:rPr>
          <w:rFonts w:ascii="Calibri" w:hAnsi="Calibri"/>
          <w:sz w:val="20"/>
          <w:szCs w:val="20"/>
        </w:rPr>
        <w:t>Los Estados financieros no presentan registros de creación o aumento de reservas.</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sidRPr="000C797D">
        <w:rPr>
          <w:rFonts w:ascii="Calibri" w:hAnsi="Calibri"/>
          <w:sz w:val="20"/>
          <w:szCs w:val="20"/>
        </w:rPr>
        <w:t>No se realizaron cambios con</w:t>
      </w:r>
      <w:r w:rsidR="002C23BF">
        <w:rPr>
          <w:rFonts w:ascii="Calibri" w:hAnsi="Calibri"/>
          <w:sz w:val="20"/>
          <w:szCs w:val="20"/>
        </w:rPr>
        <w:t>tables durante el ejercicio</w:t>
      </w:r>
      <w:r w:rsidRPr="000C797D">
        <w:rPr>
          <w:rFonts w:ascii="Calibri" w:hAnsi="Calibri"/>
          <w:sz w:val="20"/>
          <w:szCs w:val="20"/>
        </w:rPr>
        <w:t>.</w:t>
      </w:r>
    </w:p>
    <w:p w:rsidR="000C797D" w:rsidRPr="000C797D" w:rsidRDefault="000C797D" w:rsidP="000C797D">
      <w:pPr>
        <w:pStyle w:val="Prrafodelista"/>
        <w:numPr>
          <w:ilvl w:val="0"/>
          <w:numId w:val="17"/>
        </w:numPr>
        <w:tabs>
          <w:tab w:val="left" w:pos="284"/>
        </w:tabs>
        <w:spacing w:after="0" w:line="240" w:lineRule="auto"/>
        <w:jc w:val="both"/>
        <w:rPr>
          <w:rFonts w:ascii="Calibri" w:hAnsi="Calibri"/>
          <w:sz w:val="20"/>
          <w:szCs w:val="20"/>
        </w:rPr>
      </w:pPr>
      <w:r w:rsidRPr="000C797D">
        <w:rPr>
          <w:rFonts w:ascii="Calibri" w:hAnsi="Calibri"/>
          <w:sz w:val="20"/>
          <w:szCs w:val="20"/>
        </w:rPr>
        <w:t>Respecto a las correcciones de errores, reclasificaciones, depuración y cancelación de saldos, estos se ven reflejados en la cuenta de Hacienda Pública.</w:t>
      </w:r>
    </w:p>
    <w:p w:rsidR="000A10D9" w:rsidRPr="000A10D9" w:rsidRDefault="002C23BF" w:rsidP="000A10D9">
      <w:pPr>
        <w:pStyle w:val="Prrafodelista"/>
        <w:numPr>
          <w:ilvl w:val="0"/>
          <w:numId w:val="17"/>
        </w:numPr>
        <w:tabs>
          <w:tab w:val="left" w:pos="284"/>
        </w:tabs>
        <w:spacing w:after="0" w:line="240" w:lineRule="auto"/>
        <w:jc w:val="both"/>
        <w:rPr>
          <w:rFonts w:ascii="Calibri" w:hAnsi="Calibri"/>
          <w:sz w:val="20"/>
          <w:szCs w:val="20"/>
        </w:rPr>
      </w:pPr>
      <w:r>
        <w:rPr>
          <w:rFonts w:ascii="Calibri" w:hAnsi="Calibri"/>
          <w:sz w:val="20"/>
          <w:szCs w:val="20"/>
        </w:rPr>
        <w:t>Los saldos presentados en los Estados Financieros se encuentran monitoreados por lo que no existe depuración o cancelación realizada al momento.</w:t>
      </w:r>
    </w:p>
    <w:p w:rsidR="000158BF" w:rsidRPr="000158BF" w:rsidRDefault="000158BF" w:rsidP="000158BF">
      <w:pPr>
        <w:tabs>
          <w:tab w:val="left" w:pos="284"/>
        </w:tabs>
        <w:spacing w:after="0" w:line="240" w:lineRule="auto"/>
        <w:jc w:val="both"/>
        <w:rPr>
          <w:rFonts w:ascii="Calibri" w:hAnsi="Calibri"/>
          <w:sz w:val="20"/>
          <w:szCs w:val="20"/>
        </w:rPr>
      </w:pPr>
    </w:p>
    <w:p w:rsidR="005B06B5" w:rsidRPr="00522D65" w:rsidRDefault="005B06B5" w:rsidP="00AA1395">
      <w:pPr>
        <w:jc w:val="both"/>
        <w:rPr>
          <w:rFonts w:cstheme="minorHAnsi"/>
          <w:b/>
          <w:sz w:val="20"/>
          <w:szCs w:val="20"/>
        </w:rPr>
      </w:pPr>
      <w:r w:rsidRPr="00522D65">
        <w:rPr>
          <w:rFonts w:cstheme="minorHAnsi"/>
          <w:b/>
          <w:sz w:val="20"/>
          <w:szCs w:val="20"/>
        </w:rPr>
        <w:t>7. Posición en Moneda Extranjera y Protección por Riesgo Cambiario</w:t>
      </w:r>
    </w:p>
    <w:p w:rsidR="002C23BF" w:rsidRDefault="002C23BF" w:rsidP="002C23BF">
      <w:pPr>
        <w:pStyle w:val="Prrafodelista"/>
        <w:numPr>
          <w:ilvl w:val="0"/>
          <w:numId w:val="18"/>
        </w:numPr>
        <w:tabs>
          <w:tab w:val="left" w:pos="426"/>
        </w:tabs>
        <w:jc w:val="both"/>
        <w:rPr>
          <w:rFonts w:ascii="Calibri" w:hAnsi="Calibri"/>
          <w:sz w:val="20"/>
          <w:szCs w:val="20"/>
        </w:rPr>
      </w:pPr>
      <w:r>
        <w:rPr>
          <w:rFonts w:ascii="Calibri" w:hAnsi="Calibri"/>
          <w:sz w:val="20"/>
          <w:szCs w:val="20"/>
        </w:rPr>
        <w:t>El Fideicomiso no cuenta con ac</w:t>
      </w:r>
      <w:r w:rsidR="001E1977">
        <w:rPr>
          <w:rFonts w:ascii="Calibri" w:hAnsi="Calibri"/>
          <w:sz w:val="20"/>
          <w:szCs w:val="20"/>
        </w:rPr>
        <w:t>tivos en moneda extranjera al 30</w:t>
      </w:r>
      <w:r w:rsidR="002B3E92">
        <w:rPr>
          <w:rFonts w:ascii="Calibri" w:hAnsi="Calibri"/>
          <w:sz w:val="20"/>
          <w:szCs w:val="20"/>
        </w:rPr>
        <w:t xml:space="preserve"> </w:t>
      </w:r>
      <w:r w:rsidR="00D07ED8">
        <w:rPr>
          <w:rFonts w:ascii="Calibri" w:hAnsi="Calibri"/>
          <w:sz w:val="20"/>
          <w:szCs w:val="20"/>
        </w:rPr>
        <w:t>de junio de 2021</w:t>
      </w:r>
      <w:r>
        <w:rPr>
          <w:rFonts w:ascii="Calibri" w:hAnsi="Calibri"/>
          <w:sz w:val="20"/>
          <w:szCs w:val="20"/>
        </w:rPr>
        <w:t>.</w:t>
      </w:r>
    </w:p>
    <w:p w:rsidR="002C23BF" w:rsidRDefault="002C23BF" w:rsidP="002C23BF">
      <w:pPr>
        <w:pStyle w:val="Prrafodelista"/>
        <w:numPr>
          <w:ilvl w:val="0"/>
          <w:numId w:val="18"/>
        </w:numPr>
        <w:tabs>
          <w:tab w:val="left" w:pos="426"/>
        </w:tabs>
        <w:jc w:val="both"/>
        <w:rPr>
          <w:rFonts w:ascii="Calibri" w:hAnsi="Calibri"/>
          <w:sz w:val="20"/>
          <w:szCs w:val="20"/>
        </w:rPr>
      </w:pPr>
      <w:r>
        <w:rPr>
          <w:rFonts w:ascii="Calibri" w:hAnsi="Calibri"/>
          <w:sz w:val="20"/>
          <w:szCs w:val="20"/>
        </w:rPr>
        <w:t>El Fideicomiso no cuenta con pasivos en moned</w:t>
      </w:r>
      <w:r w:rsidR="001E1977">
        <w:rPr>
          <w:rFonts w:ascii="Calibri" w:hAnsi="Calibri"/>
          <w:sz w:val="20"/>
          <w:szCs w:val="20"/>
        </w:rPr>
        <w:t>a extranjera al 30 de</w:t>
      </w:r>
      <w:r w:rsidR="00D07ED8" w:rsidRPr="00D07ED8">
        <w:rPr>
          <w:rFonts w:ascii="Calibri" w:hAnsi="Calibri"/>
          <w:sz w:val="20"/>
          <w:szCs w:val="20"/>
        </w:rPr>
        <w:t xml:space="preserve"> </w:t>
      </w:r>
      <w:r w:rsidR="00D07ED8">
        <w:rPr>
          <w:rFonts w:ascii="Calibri" w:hAnsi="Calibri"/>
          <w:sz w:val="20"/>
          <w:szCs w:val="20"/>
        </w:rPr>
        <w:t>junio</w:t>
      </w:r>
      <w:r w:rsidR="00D07ED8">
        <w:rPr>
          <w:rFonts w:ascii="Calibri" w:hAnsi="Calibri"/>
          <w:sz w:val="20"/>
          <w:szCs w:val="20"/>
        </w:rPr>
        <w:t xml:space="preserve"> de 2021</w:t>
      </w:r>
      <w:r>
        <w:rPr>
          <w:rFonts w:ascii="Calibri" w:hAnsi="Calibri"/>
          <w:sz w:val="20"/>
          <w:szCs w:val="20"/>
        </w:rPr>
        <w:t>.</w:t>
      </w:r>
    </w:p>
    <w:p w:rsidR="002C23BF" w:rsidRDefault="002C23BF" w:rsidP="002C23BF">
      <w:pPr>
        <w:pStyle w:val="Prrafodelista"/>
        <w:numPr>
          <w:ilvl w:val="0"/>
          <w:numId w:val="18"/>
        </w:numPr>
        <w:tabs>
          <w:tab w:val="left" w:pos="426"/>
        </w:tabs>
        <w:jc w:val="both"/>
        <w:rPr>
          <w:rFonts w:ascii="Calibri" w:hAnsi="Calibri"/>
          <w:sz w:val="20"/>
          <w:szCs w:val="20"/>
        </w:rPr>
      </w:pPr>
      <w:r>
        <w:rPr>
          <w:rFonts w:ascii="Calibri" w:hAnsi="Calibri"/>
          <w:sz w:val="20"/>
          <w:szCs w:val="20"/>
        </w:rPr>
        <w:t>No se presenta ninguna posición producto de que no existen obligaciones o derechos en moneda extranjera.</w:t>
      </w:r>
    </w:p>
    <w:p w:rsidR="00522D65" w:rsidRDefault="00522D65" w:rsidP="002C23BF">
      <w:pPr>
        <w:pStyle w:val="Prrafodelista"/>
        <w:numPr>
          <w:ilvl w:val="0"/>
          <w:numId w:val="18"/>
        </w:numPr>
        <w:tabs>
          <w:tab w:val="left" w:pos="426"/>
        </w:tabs>
        <w:jc w:val="both"/>
        <w:rPr>
          <w:rFonts w:ascii="Calibri" w:hAnsi="Calibri"/>
          <w:sz w:val="20"/>
          <w:szCs w:val="20"/>
        </w:rPr>
      </w:pPr>
      <w:r w:rsidRPr="002C23BF">
        <w:rPr>
          <w:rFonts w:ascii="Calibri" w:hAnsi="Calibri"/>
          <w:sz w:val="20"/>
          <w:szCs w:val="20"/>
        </w:rPr>
        <w:t>Las operaciones que derivan un pago en moneda extranjera, se convierten a moneda nacional, al utilizar el tipo de cambio del día que se realice la operación, que es la fecha en que la transacción cumple las condiciones para su reconocimiento.</w:t>
      </w:r>
    </w:p>
    <w:p w:rsidR="002C23BF" w:rsidRDefault="002C23BF" w:rsidP="002C23BF">
      <w:pPr>
        <w:pStyle w:val="Prrafodelista"/>
        <w:numPr>
          <w:ilvl w:val="0"/>
          <w:numId w:val="18"/>
        </w:numPr>
        <w:tabs>
          <w:tab w:val="left" w:pos="426"/>
        </w:tabs>
        <w:jc w:val="both"/>
        <w:rPr>
          <w:rFonts w:ascii="Calibri" w:hAnsi="Calibri"/>
          <w:sz w:val="20"/>
          <w:szCs w:val="20"/>
        </w:rPr>
      </w:pPr>
      <w:r>
        <w:rPr>
          <w:rFonts w:ascii="Calibri" w:hAnsi="Calibri"/>
          <w:sz w:val="20"/>
          <w:szCs w:val="20"/>
        </w:rPr>
        <w:t>No existe ninguna equivalencia derivado de que no existen obligaciones o derechos en moneda extranjera.</w:t>
      </w:r>
    </w:p>
    <w:p w:rsidR="00956E36" w:rsidRDefault="002C23BF" w:rsidP="002C23BF">
      <w:pPr>
        <w:tabs>
          <w:tab w:val="left" w:pos="426"/>
        </w:tabs>
        <w:jc w:val="both"/>
        <w:rPr>
          <w:rFonts w:ascii="Calibri" w:hAnsi="Calibri"/>
          <w:sz w:val="20"/>
          <w:szCs w:val="20"/>
        </w:rPr>
      </w:pPr>
      <w:r>
        <w:rPr>
          <w:rFonts w:ascii="Calibri" w:hAnsi="Calibri"/>
          <w:sz w:val="20"/>
          <w:szCs w:val="20"/>
        </w:rPr>
        <w:t>Debido a que las operaciones en moneda extranjera no son cotidianas, no se establece ningún método para las variaciones en el tipo de cambio.</w:t>
      </w:r>
    </w:p>
    <w:p w:rsidR="00F7176D" w:rsidRPr="002C23BF" w:rsidRDefault="00F7176D" w:rsidP="002C23BF">
      <w:pPr>
        <w:tabs>
          <w:tab w:val="left" w:pos="426"/>
        </w:tabs>
        <w:jc w:val="both"/>
        <w:rPr>
          <w:rFonts w:ascii="Calibri" w:hAnsi="Calibri"/>
          <w:sz w:val="20"/>
          <w:szCs w:val="20"/>
        </w:rPr>
      </w:pPr>
    </w:p>
    <w:p w:rsidR="00B66F57" w:rsidRDefault="00B66F57" w:rsidP="00AA1395">
      <w:pPr>
        <w:jc w:val="both"/>
        <w:rPr>
          <w:rFonts w:cstheme="minorHAnsi"/>
          <w:b/>
          <w:sz w:val="20"/>
          <w:szCs w:val="20"/>
        </w:rPr>
      </w:pPr>
    </w:p>
    <w:p w:rsidR="004258C6" w:rsidRDefault="004258C6" w:rsidP="00AA1395">
      <w:pPr>
        <w:jc w:val="both"/>
        <w:rPr>
          <w:rFonts w:cstheme="minorHAnsi"/>
          <w:b/>
          <w:sz w:val="20"/>
          <w:szCs w:val="20"/>
        </w:rPr>
      </w:pPr>
      <w:r>
        <w:rPr>
          <w:rFonts w:cstheme="minorHAnsi"/>
          <w:b/>
          <w:sz w:val="20"/>
          <w:szCs w:val="20"/>
        </w:rPr>
        <w:t>8. Reporte Analítico del Activo</w:t>
      </w:r>
    </w:p>
    <w:p w:rsidR="006B394E" w:rsidRPr="006B394E" w:rsidRDefault="006B394E" w:rsidP="00AA1395">
      <w:pPr>
        <w:jc w:val="both"/>
        <w:rPr>
          <w:rFonts w:cstheme="minorHAnsi"/>
          <w:sz w:val="20"/>
          <w:szCs w:val="20"/>
        </w:rPr>
      </w:pPr>
      <w:r w:rsidRPr="006B394E">
        <w:rPr>
          <w:rFonts w:cstheme="minorHAnsi"/>
          <w:sz w:val="20"/>
          <w:szCs w:val="20"/>
        </w:rPr>
        <w:t>De acuerdo a la “Guía de Vida Útil Estimada y Porcentajes de Depreciación”</w:t>
      </w:r>
      <w:r>
        <w:rPr>
          <w:rFonts w:cstheme="minorHAnsi"/>
          <w:sz w:val="20"/>
          <w:szCs w:val="20"/>
        </w:rPr>
        <w:t xml:space="preserve"> emitida por el CONAC, </w:t>
      </w:r>
      <w:r w:rsidRPr="006B394E">
        <w:rPr>
          <w:rFonts w:cstheme="minorHAnsi"/>
          <w:sz w:val="20"/>
          <w:szCs w:val="20"/>
        </w:rPr>
        <w:t xml:space="preserve">se presenta la siguiente tabla utilizada para el cálculo de la depreciación de los </w:t>
      </w:r>
      <w:r>
        <w:rPr>
          <w:rFonts w:cstheme="minorHAnsi"/>
          <w:sz w:val="20"/>
          <w:szCs w:val="20"/>
        </w:rPr>
        <w:t>bienes que posee el Fideicomiso:</w:t>
      </w:r>
    </w:p>
    <w:p w:rsidR="00A010B6" w:rsidRDefault="006B394E" w:rsidP="00E44F19">
      <w:pPr>
        <w:jc w:val="center"/>
        <w:rPr>
          <w:rFonts w:cstheme="minorHAnsi"/>
          <w:b/>
          <w:sz w:val="20"/>
          <w:szCs w:val="20"/>
        </w:rPr>
      </w:pPr>
      <w:r>
        <w:rPr>
          <w:rFonts w:cstheme="minorHAnsi"/>
          <w:b/>
          <w:noProof/>
          <w:sz w:val="20"/>
          <w:szCs w:val="20"/>
          <w:lang w:eastAsia="es-MX"/>
        </w:rPr>
        <w:drawing>
          <wp:inline distT="0" distB="0" distL="0" distR="0" wp14:anchorId="46743FCA">
            <wp:extent cx="4889500" cy="335915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9500" cy="3359150"/>
                    </a:xfrm>
                    <a:prstGeom prst="rect">
                      <a:avLst/>
                    </a:prstGeom>
                    <a:noFill/>
                  </pic:spPr>
                </pic:pic>
              </a:graphicData>
            </a:graphic>
          </wp:inline>
        </w:drawing>
      </w:r>
    </w:p>
    <w:p w:rsidR="00B66F57" w:rsidRDefault="00B66F57" w:rsidP="00AA1395">
      <w:pPr>
        <w:jc w:val="both"/>
        <w:rPr>
          <w:rFonts w:cstheme="minorHAnsi"/>
          <w:b/>
          <w:sz w:val="20"/>
          <w:szCs w:val="20"/>
        </w:rPr>
      </w:pPr>
    </w:p>
    <w:p w:rsidR="005B06B5" w:rsidRDefault="004258C6" w:rsidP="00AA1395">
      <w:pPr>
        <w:jc w:val="both"/>
        <w:rPr>
          <w:rFonts w:cstheme="minorHAnsi"/>
          <w:b/>
          <w:sz w:val="20"/>
          <w:szCs w:val="20"/>
        </w:rPr>
      </w:pPr>
      <w:r>
        <w:rPr>
          <w:rFonts w:cstheme="minorHAnsi"/>
          <w:b/>
          <w:sz w:val="20"/>
          <w:szCs w:val="20"/>
        </w:rPr>
        <w:t>9</w:t>
      </w:r>
      <w:r w:rsidR="005B06B5" w:rsidRPr="00522D65">
        <w:rPr>
          <w:rFonts w:cstheme="minorHAnsi"/>
          <w:b/>
          <w:sz w:val="20"/>
          <w:szCs w:val="20"/>
        </w:rPr>
        <w:t>. Fideicomisos, Mandatos y Análogos</w:t>
      </w:r>
    </w:p>
    <w:p w:rsidR="00BE0EA5" w:rsidRDefault="00522D65" w:rsidP="00956E36">
      <w:pPr>
        <w:jc w:val="both"/>
        <w:rPr>
          <w:rFonts w:cstheme="minorHAnsi"/>
          <w:sz w:val="20"/>
          <w:szCs w:val="20"/>
        </w:rPr>
      </w:pPr>
      <w:r>
        <w:rPr>
          <w:rFonts w:cstheme="minorHAnsi"/>
          <w:sz w:val="20"/>
          <w:szCs w:val="20"/>
        </w:rPr>
        <w:t>E</w:t>
      </w:r>
      <w:r w:rsidRPr="00522D65">
        <w:rPr>
          <w:rFonts w:cstheme="minorHAnsi"/>
          <w:sz w:val="20"/>
          <w:szCs w:val="20"/>
        </w:rPr>
        <w:t>l Gobierno del Estado de Yucatán, representado por la Secretaría de Administración y Finanzas</w:t>
      </w:r>
      <w:r>
        <w:rPr>
          <w:rFonts w:cstheme="minorHAnsi"/>
          <w:sz w:val="20"/>
          <w:szCs w:val="20"/>
        </w:rPr>
        <w:t xml:space="preserve"> celebra</w:t>
      </w:r>
      <w:r w:rsidRPr="00522D65">
        <w:rPr>
          <w:rFonts w:cstheme="minorHAnsi"/>
          <w:sz w:val="20"/>
          <w:szCs w:val="20"/>
        </w:rPr>
        <w:t xml:space="preserve"> el contrato número F/2003958</w:t>
      </w:r>
      <w:r>
        <w:rPr>
          <w:rFonts w:cstheme="minorHAnsi"/>
          <w:sz w:val="20"/>
          <w:szCs w:val="20"/>
        </w:rPr>
        <w:t xml:space="preserve"> como Fideicomitente</w:t>
      </w:r>
      <w:r w:rsidRPr="00522D65">
        <w:rPr>
          <w:rFonts w:cstheme="minorHAnsi"/>
          <w:sz w:val="20"/>
          <w:szCs w:val="20"/>
        </w:rPr>
        <w:t>, con la institución financiera Banco Santander (México), SA Institución de Banca Múltiple, Grupo Financiero Santander</w:t>
      </w:r>
      <w:r>
        <w:rPr>
          <w:rFonts w:cstheme="minorHAnsi"/>
          <w:sz w:val="20"/>
          <w:szCs w:val="20"/>
        </w:rPr>
        <w:t xml:space="preserve"> en calidad de Fiduciario</w:t>
      </w:r>
      <w:r w:rsidR="00845339">
        <w:rPr>
          <w:rFonts w:cstheme="minorHAnsi"/>
          <w:sz w:val="20"/>
          <w:szCs w:val="20"/>
        </w:rPr>
        <w:t xml:space="preserve"> </w:t>
      </w:r>
      <w:r w:rsidR="00D07ED8">
        <w:rPr>
          <w:rFonts w:cstheme="minorHAnsi"/>
          <w:sz w:val="20"/>
          <w:szCs w:val="20"/>
        </w:rPr>
        <w:t xml:space="preserve">que al 30 de junio </w:t>
      </w:r>
      <w:r w:rsidR="00490EDC">
        <w:rPr>
          <w:rFonts w:cstheme="minorHAnsi"/>
          <w:sz w:val="20"/>
          <w:szCs w:val="20"/>
        </w:rPr>
        <w:t xml:space="preserve">de 2021 </w:t>
      </w:r>
      <w:r w:rsidR="00BE0EA5">
        <w:rPr>
          <w:rFonts w:cstheme="minorHAnsi"/>
          <w:sz w:val="20"/>
          <w:szCs w:val="20"/>
        </w:rPr>
        <w:t xml:space="preserve">presenta una </w:t>
      </w:r>
      <w:r w:rsidR="002B3E92">
        <w:rPr>
          <w:rFonts w:cstheme="minorHAnsi"/>
          <w:sz w:val="20"/>
          <w:szCs w:val="20"/>
        </w:rPr>
        <w:t>disponibilidad de $</w:t>
      </w:r>
      <w:r w:rsidR="00FB47F1" w:rsidRPr="00927A28">
        <w:rPr>
          <w:rFonts w:cstheme="minorHAnsi"/>
          <w:sz w:val="20"/>
          <w:szCs w:val="20"/>
        </w:rPr>
        <w:t xml:space="preserve"> </w:t>
      </w:r>
      <w:r w:rsidR="00927A28" w:rsidRPr="00927A28">
        <w:rPr>
          <w:rFonts w:cstheme="minorHAnsi"/>
          <w:sz w:val="20"/>
          <w:szCs w:val="20"/>
        </w:rPr>
        <w:t>23</w:t>
      </w:r>
      <w:r w:rsidR="00927A28">
        <w:rPr>
          <w:rFonts w:cstheme="minorHAnsi"/>
          <w:sz w:val="20"/>
          <w:szCs w:val="20"/>
        </w:rPr>
        <w:t>,</w:t>
      </w:r>
      <w:r w:rsidR="00927A28" w:rsidRPr="00927A28">
        <w:rPr>
          <w:rFonts w:cstheme="minorHAnsi"/>
          <w:sz w:val="20"/>
          <w:szCs w:val="20"/>
        </w:rPr>
        <w:t>541</w:t>
      </w:r>
      <w:r w:rsidR="00927A28">
        <w:rPr>
          <w:rFonts w:cstheme="minorHAnsi"/>
          <w:sz w:val="20"/>
          <w:szCs w:val="20"/>
        </w:rPr>
        <w:t>,</w:t>
      </w:r>
      <w:r w:rsidR="00927A28" w:rsidRPr="00927A28">
        <w:rPr>
          <w:rFonts w:cstheme="minorHAnsi"/>
          <w:sz w:val="20"/>
          <w:szCs w:val="20"/>
        </w:rPr>
        <w:t>843.15</w:t>
      </w:r>
      <w:r w:rsidR="000D0B47">
        <w:rPr>
          <w:rFonts w:cstheme="minorHAnsi"/>
          <w:sz w:val="20"/>
          <w:szCs w:val="20"/>
        </w:rPr>
        <w:t xml:space="preserve"> </w:t>
      </w:r>
      <w:r w:rsidR="00956E36">
        <w:rPr>
          <w:rFonts w:cstheme="minorHAnsi"/>
          <w:sz w:val="20"/>
          <w:szCs w:val="20"/>
        </w:rPr>
        <w:t>pesos.</w:t>
      </w:r>
    </w:p>
    <w:p w:rsidR="00FB47F1" w:rsidRPr="00956E36" w:rsidRDefault="00FB47F1" w:rsidP="00956E36">
      <w:pPr>
        <w:jc w:val="both"/>
        <w:rPr>
          <w:rFonts w:cstheme="minorHAnsi"/>
          <w:sz w:val="20"/>
          <w:szCs w:val="20"/>
        </w:rPr>
      </w:pPr>
    </w:p>
    <w:p w:rsidR="005B06B5" w:rsidRDefault="006B394E" w:rsidP="00AA1395">
      <w:pPr>
        <w:jc w:val="both"/>
        <w:rPr>
          <w:rFonts w:cstheme="minorHAnsi"/>
          <w:b/>
          <w:sz w:val="20"/>
          <w:szCs w:val="20"/>
        </w:rPr>
      </w:pPr>
      <w:r>
        <w:rPr>
          <w:rFonts w:cstheme="minorHAnsi"/>
          <w:b/>
          <w:sz w:val="20"/>
          <w:szCs w:val="20"/>
        </w:rPr>
        <w:t>10</w:t>
      </w:r>
      <w:r w:rsidR="005B06B5" w:rsidRPr="004A705F">
        <w:rPr>
          <w:rFonts w:cstheme="minorHAnsi"/>
          <w:b/>
          <w:sz w:val="20"/>
          <w:szCs w:val="20"/>
        </w:rPr>
        <w:t>. Reporte de la Recaudación</w:t>
      </w:r>
    </w:p>
    <w:p w:rsidR="00E44F19" w:rsidRDefault="00D07ED8" w:rsidP="00872467">
      <w:pPr>
        <w:jc w:val="both"/>
        <w:rPr>
          <w:rFonts w:cstheme="minorHAnsi"/>
          <w:sz w:val="20"/>
          <w:szCs w:val="20"/>
        </w:rPr>
      </w:pPr>
      <w:r w:rsidRPr="00D07ED8">
        <w:drawing>
          <wp:inline distT="0" distB="0" distL="0" distR="0">
            <wp:extent cx="5612130" cy="954388"/>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954388"/>
                    </a:xfrm>
                    <a:prstGeom prst="rect">
                      <a:avLst/>
                    </a:prstGeom>
                    <a:noFill/>
                    <a:ln>
                      <a:noFill/>
                    </a:ln>
                  </pic:spPr>
                </pic:pic>
              </a:graphicData>
            </a:graphic>
          </wp:inline>
        </w:drawing>
      </w:r>
      <w:r w:rsidR="00C6380F">
        <w:rPr>
          <w:rFonts w:cstheme="minorHAnsi"/>
          <w:sz w:val="20"/>
          <w:szCs w:val="20"/>
        </w:rPr>
        <w:t xml:space="preserve"> </w:t>
      </w:r>
    </w:p>
    <w:p w:rsidR="00295A1C" w:rsidRDefault="00295A1C" w:rsidP="005B06B5">
      <w:pPr>
        <w:rPr>
          <w:rFonts w:cstheme="minorHAnsi"/>
          <w:b/>
          <w:sz w:val="20"/>
          <w:szCs w:val="20"/>
        </w:rPr>
      </w:pPr>
    </w:p>
    <w:p w:rsidR="00B66F57" w:rsidRDefault="00B66F57" w:rsidP="005B06B5">
      <w:pPr>
        <w:rPr>
          <w:rFonts w:cstheme="minorHAnsi"/>
          <w:b/>
          <w:sz w:val="20"/>
          <w:szCs w:val="20"/>
        </w:rPr>
      </w:pPr>
    </w:p>
    <w:p w:rsidR="00B66F57" w:rsidRDefault="00B66F57" w:rsidP="005B06B5">
      <w:pPr>
        <w:rPr>
          <w:rFonts w:cstheme="minorHAnsi"/>
          <w:b/>
          <w:sz w:val="20"/>
          <w:szCs w:val="20"/>
        </w:rPr>
      </w:pPr>
    </w:p>
    <w:p w:rsidR="005B06B5" w:rsidRPr="009A66E6" w:rsidRDefault="006B394E" w:rsidP="005B06B5">
      <w:pPr>
        <w:rPr>
          <w:rFonts w:cstheme="minorHAnsi"/>
          <w:b/>
          <w:sz w:val="20"/>
          <w:szCs w:val="20"/>
        </w:rPr>
      </w:pPr>
      <w:r>
        <w:rPr>
          <w:rFonts w:cstheme="minorHAnsi"/>
          <w:b/>
          <w:sz w:val="20"/>
          <w:szCs w:val="20"/>
        </w:rPr>
        <w:t>11</w:t>
      </w:r>
      <w:r w:rsidR="005B06B5" w:rsidRPr="009A66E6">
        <w:rPr>
          <w:rFonts w:cstheme="minorHAnsi"/>
          <w:b/>
          <w:sz w:val="20"/>
          <w:szCs w:val="20"/>
        </w:rPr>
        <w:t>. Información sobre la Deuda y el Reporte Analítico de la Deuda</w:t>
      </w:r>
    </w:p>
    <w:p w:rsidR="00CD6E57" w:rsidRPr="00CD6E57" w:rsidRDefault="00BE0EA5" w:rsidP="00AA1395">
      <w:pPr>
        <w:jc w:val="both"/>
        <w:rPr>
          <w:rFonts w:cstheme="minorHAnsi"/>
          <w:sz w:val="20"/>
          <w:szCs w:val="20"/>
        </w:rPr>
      </w:pPr>
      <w:r>
        <w:rPr>
          <w:rFonts w:ascii="Calibri" w:hAnsi="Calibri"/>
          <w:sz w:val="20"/>
          <w:szCs w:val="20"/>
        </w:rPr>
        <w:t>No aplica.</w:t>
      </w:r>
      <w:r>
        <w:rPr>
          <w:rFonts w:cstheme="minorHAnsi"/>
          <w:sz w:val="20"/>
          <w:szCs w:val="20"/>
        </w:rPr>
        <w:t xml:space="preserve"> </w:t>
      </w:r>
      <w:r w:rsidR="009A66E6" w:rsidRPr="009A66E6">
        <w:rPr>
          <w:rFonts w:cstheme="minorHAnsi"/>
          <w:sz w:val="20"/>
          <w:szCs w:val="20"/>
        </w:rPr>
        <w:t xml:space="preserve">El </w:t>
      </w:r>
      <w:r w:rsidR="009A66E6" w:rsidRPr="00522D65">
        <w:rPr>
          <w:rFonts w:cstheme="minorHAnsi"/>
          <w:sz w:val="20"/>
          <w:szCs w:val="20"/>
        </w:rPr>
        <w:t>Fideicomiso Público para el Desarrollo del Turismo de Reuniones en Yucatán</w:t>
      </w:r>
      <w:r w:rsidR="009A66E6" w:rsidRPr="009A66E6">
        <w:rPr>
          <w:rFonts w:cstheme="minorHAnsi"/>
          <w:sz w:val="20"/>
          <w:szCs w:val="20"/>
        </w:rPr>
        <w:t xml:space="preserve"> no ha generado información alguna sobre deuda pública por</w:t>
      </w:r>
      <w:r w:rsidR="00DA64EB">
        <w:rPr>
          <w:rFonts w:cstheme="minorHAnsi"/>
          <w:sz w:val="20"/>
          <w:szCs w:val="20"/>
        </w:rPr>
        <w:t xml:space="preserve"> el periodo del 1 de</w:t>
      </w:r>
      <w:r w:rsidR="00A010B6" w:rsidRPr="00A010B6">
        <w:rPr>
          <w:rFonts w:cstheme="minorHAnsi"/>
          <w:sz w:val="20"/>
          <w:szCs w:val="20"/>
        </w:rPr>
        <w:t xml:space="preserve"> </w:t>
      </w:r>
      <w:r w:rsidR="00D07ED8">
        <w:rPr>
          <w:rFonts w:cstheme="minorHAnsi"/>
          <w:sz w:val="20"/>
          <w:szCs w:val="20"/>
        </w:rPr>
        <w:t>enero al 30</w:t>
      </w:r>
      <w:r w:rsidR="009E3FAD">
        <w:rPr>
          <w:rFonts w:cstheme="minorHAnsi"/>
          <w:sz w:val="20"/>
          <w:szCs w:val="20"/>
        </w:rPr>
        <w:t xml:space="preserve"> de</w:t>
      </w:r>
      <w:r w:rsidR="00D07ED8">
        <w:rPr>
          <w:rFonts w:cstheme="minorHAnsi"/>
          <w:sz w:val="20"/>
          <w:szCs w:val="20"/>
        </w:rPr>
        <w:t xml:space="preserve"> junio</w:t>
      </w:r>
      <w:r w:rsidR="00490EDC">
        <w:rPr>
          <w:rFonts w:cstheme="minorHAnsi"/>
          <w:sz w:val="20"/>
          <w:szCs w:val="20"/>
        </w:rPr>
        <w:t xml:space="preserve"> de 2021</w:t>
      </w:r>
      <w:r w:rsidR="009A66E6" w:rsidRPr="009A66E6">
        <w:rPr>
          <w:rFonts w:cstheme="minorHAnsi"/>
          <w:sz w:val="20"/>
          <w:szCs w:val="20"/>
        </w:rPr>
        <w:t xml:space="preserve">. </w:t>
      </w:r>
    </w:p>
    <w:p w:rsidR="00E5436F" w:rsidRDefault="00E5436F" w:rsidP="00AA1395">
      <w:pPr>
        <w:jc w:val="both"/>
        <w:rPr>
          <w:rFonts w:cstheme="minorHAnsi"/>
          <w:b/>
          <w:sz w:val="20"/>
          <w:szCs w:val="20"/>
        </w:rPr>
      </w:pPr>
    </w:p>
    <w:p w:rsidR="009A66E6" w:rsidRPr="009A66E6" w:rsidRDefault="006B394E" w:rsidP="00AA1395">
      <w:pPr>
        <w:jc w:val="both"/>
        <w:rPr>
          <w:rFonts w:cstheme="minorHAnsi"/>
          <w:b/>
          <w:sz w:val="20"/>
          <w:szCs w:val="20"/>
        </w:rPr>
      </w:pPr>
      <w:r>
        <w:rPr>
          <w:rFonts w:cstheme="minorHAnsi"/>
          <w:b/>
          <w:sz w:val="20"/>
          <w:szCs w:val="20"/>
        </w:rPr>
        <w:t>12. Calificaciones O</w:t>
      </w:r>
      <w:r w:rsidR="005B06B5" w:rsidRPr="009A66E6">
        <w:rPr>
          <w:rFonts w:cstheme="minorHAnsi"/>
          <w:b/>
          <w:sz w:val="20"/>
          <w:szCs w:val="20"/>
        </w:rPr>
        <w:t>torgad</w:t>
      </w:r>
      <w:r w:rsidR="009A66E6" w:rsidRPr="009A66E6">
        <w:rPr>
          <w:rFonts w:cstheme="minorHAnsi"/>
          <w:b/>
          <w:sz w:val="20"/>
          <w:szCs w:val="20"/>
        </w:rPr>
        <w:t>as</w:t>
      </w:r>
    </w:p>
    <w:p w:rsidR="00E5436F" w:rsidRDefault="00BE0EA5" w:rsidP="00AA1395">
      <w:pPr>
        <w:jc w:val="both"/>
        <w:rPr>
          <w:rFonts w:ascii="Calibri" w:hAnsi="Calibri"/>
          <w:sz w:val="20"/>
          <w:szCs w:val="20"/>
        </w:rPr>
      </w:pPr>
      <w:r>
        <w:rPr>
          <w:rFonts w:ascii="Calibri" w:hAnsi="Calibri"/>
          <w:sz w:val="20"/>
          <w:szCs w:val="20"/>
        </w:rPr>
        <w:t xml:space="preserve">No aplica. </w:t>
      </w:r>
      <w:r w:rsidR="009A66E6" w:rsidRPr="00853E3D">
        <w:rPr>
          <w:rFonts w:ascii="Calibri" w:hAnsi="Calibri"/>
          <w:sz w:val="20"/>
          <w:szCs w:val="20"/>
        </w:rPr>
        <w:t xml:space="preserve">El </w:t>
      </w:r>
      <w:r w:rsidR="009A66E6" w:rsidRPr="00522D65">
        <w:rPr>
          <w:rFonts w:cstheme="minorHAnsi"/>
          <w:sz w:val="20"/>
          <w:szCs w:val="20"/>
        </w:rPr>
        <w:t>Fideicomiso Público para el Desarrollo del Turismo de Reuniones en Yucatán</w:t>
      </w:r>
      <w:r w:rsidR="009A66E6" w:rsidRPr="00853E3D">
        <w:rPr>
          <w:rFonts w:ascii="Calibri" w:hAnsi="Calibri"/>
          <w:sz w:val="20"/>
          <w:szCs w:val="20"/>
        </w:rPr>
        <w:t xml:space="preserve"> no ha obtenido calificación crediticia alguna por el periodo del </w:t>
      </w:r>
      <w:r w:rsidR="00490EDC">
        <w:rPr>
          <w:rFonts w:cstheme="minorHAnsi"/>
          <w:sz w:val="20"/>
          <w:szCs w:val="20"/>
        </w:rPr>
        <w:t>1 de</w:t>
      </w:r>
      <w:r w:rsidR="00490EDC" w:rsidRPr="00A010B6">
        <w:rPr>
          <w:rFonts w:cstheme="minorHAnsi"/>
          <w:sz w:val="20"/>
          <w:szCs w:val="20"/>
        </w:rPr>
        <w:t xml:space="preserve"> </w:t>
      </w:r>
      <w:r w:rsidR="00927A28">
        <w:rPr>
          <w:rFonts w:cstheme="minorHAnsi"/>
          <w:sz w:val="20"/>
          <w:szCs w:val="20"/>
        </w:rPr>
        <w:t xml:space="preserve">enero al </w:t>
      </w:r>
      <w:r w:rsidR="00D07ED8">
        <w:rPr>
          <w:rFonts w:cstheme="minorHAnsi"/>
          <w:sz w:val="20"/>
          <w:szCs w:val="20"/>
        </w:rPr>
        <w:t>30 de junio</w:t>
      </w:r>
      <w:r w:rsidR="00ED1850">
        <w:rPr>
          <w:rFonts w:cstheme="minorHAnsi"/>
          <w:sz w:val="20"/>
          <w:szCs w:val="20"/>
        </w:rPr>
        <w:t xml:space="preserve"> </w:t>
      </w:r>
      <w:r w:rsidR="00490EDC">
        <w:rPr>
          <w:rFonts w:cstheme="minorHAnsi"/>
          <w:sz w:val="20"/>
          <w:szCs w:val="20"/>
        </w:rPr>
        <w:t>de 2021</w:t>
      </w:r>
      <w:r w:rsidR="009A66E6" w:rsidRPr="00853E3D">
        <w:rPr>
          <w:rFonts w:ascii="Calibri" w:hAnsi="Calibri"/>
          <w:sz w:val="20"/>
          <w:szCs w:val="20"/>
        </w:rPr>
        <w:t xml:space="preserve">. </w:t>
      </w:r>
    </w:p>
    <w:p w:rsidR="00A010B6" w:rsidRPr="00E5436F" w:rsidRDefault="00A010B6" w:rsidP="00AA1395">
      <w:pPr>
        <w:jc w:val="both"/>
        <w:rPr>
          <w:rFonts w:ascii="Calibri" w:hAnsi="Calibri"/>
          <w:sz w:val="20"/>
          <w:szCs w:val="20"/>
        </w:rPr>
      </w:pPr>
    </w:p>
    <w:p w:rsidR="006B394E" w:rsidRDefault="006B394E" w:rsidP="00AA1395">
      <w:pPr>
        <w:jc w:val="both"/>
        <w:rPr>
          <w:rFonts w:ascii="Calibri" w:hAnsi="Calibri"/>
          <w:b/>
          <w:sz w:val="20"/>
          <w:szCs w:val="20"/>
        </w:rPr>
      </w:pPr>
      <w:r w:rsidRPr="00A73C3D">
        <w:rPr>
          <w:rFonts w:ascii="Calibri" w:hAnsi="Calibri"/>
          <w:b/>
          <w:sz w:val="20"/>
          <w:szCs w:val="20"/>
        </w:rPr>
        <w:t>13. Proceso de Mejora</w:t>
      </w:r>
    </w:p>
    <w:p w:rsidR="006B394E" w:rsidRDefault="00B66F57" w:rsidP="00AA1395">
      <w:pPr>
        <w:jc w:val="both"/>
        <w:rPr>
          <w:rFonts w:ascii="Calibri" w:hAnsi="Calibri"/>
          <w:sz w:val="20"/>
          <w:szCs w:val="20"/>
        </w:rPr>
      </w:pPr>
      <w:r>
        <w:rPr>
          <w:noProof/>
          <w:lang w:eastAsia="es-MX"/>
        </w:rPr>
        <w:drawing>
          <wp:anchor distT="0" distB="0" distL="114300" distR="114300" simplePos="0" relativeHeight="251658240" behindDoc="0" locked="0" layoutInCell="1" allowOverlap="1" wp14:anchorId="23455C40" wp14:editId="36F0D346">
            <wp:simplePos x="0" y="0"/>
            <wp:positionH relativeFrom="margin">
              <wp:posOffset>-737236</wp:posOffset>
            </wp:positionH>
            <wp:positionV relativeFrom="paragraph">
              <wp:posOffset>595630</wp:posOffset>
            </wp:positionV>
            <wp:extent cx="7000875" cy="3124754"/>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l="2376"/>
                    <a:stretch/>
                  </pic:blipFill>
                  <pic:spPr bwMode="auto">
                    <a:xfrm>
                      <a:off x="0" y="0"/>
                      <a:ext cx="7012496" cy="3129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94E" w:rsidRPr="006B394E">
        <w:rPr>
          <w:rFonts w:ascii="Calibri" w:hAnsi="Calibri"/>
          <w:sz w:val="20"/>
          <w:szCs w:val="20"/>
        </w:rPr>
        <w:t>A continuación, se presenta el Programa de Trabajo</w:t>
      </w:r>
      <w:r>
        <w:rPr>
          <w:rFonts w:ascii="Calibri" w:hAnsi="Calibri"/>
          <w:sz w:val="20"/>
          <w:szCs w:val="20"/>
        </w:rPr>
        <w:t xml:space="preserve"> del 2021</w:t>
      </w:r>
      <w:r w:rsidR="006B394E" w:rsidRPr="006B394E">
        <w:rPr>
          <w:rFonts w:ascii="Calibri" w:hAnsi="Calibri"/>
          <w:sz w:val="20"/>
          <w:szCs w:val="20"/>
        </w:rPr>
        <w:t xml:space="preserve"> para la implementación y fortalecimiento del Control Interno Institucional, como parte de los procesos de mejora del Fideicomiso Público para el Desarrollo del Turismo de Reuniones en Yucatán. </w:t>
      </w:r>
    </w:p>
    <w:p w:rsidR="00B66F57" w:rsidRPr="006B394E" w:rsidRDefault="00B66F57" w:rsidP="00AA1395">
      <w:pPr>
        <w:jc w:val="both"/>
        <w:rPr>
          <w:rFonts w:ascii="Calibri" w:hAnsi="Calibri"/>
          <w:sz w:val="20"/>
          <w:szCs w:val="20"/>
        </w:rPr>
      </w:pPr>
    </w:p>
    <w:p w:rsidR="006B394E" w:rsidRDefault="006B394E" w:rsidP="00B66F57">
      <w:pPr>
        <w:rPr>
          <w:rFonts w:ascii="Calibri" w:hAnsi="Calibri"/>
          <w:sz w:val="20"/>
          <w:szCs w:val="20"/>
        </w:rPr>
      </w:pPr>
    </w:p>
    <w:p w:rsidR="006665BB" w:rsidRDefault="006665BB"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295A1C" w:rsidRDefault="00295A1C" w:rsidP="007F280A">
      <w:pPr>
        <w:tabs>
          <w:tab w:val="left" w:pos="426"/>
        </w:tabs>
        <w:spacing w:after="0" w:line="240" w:lineRule="auto"/>
        <w:rPr>
          <w:rFonts w:ascii="Calibri" w:hAnsi="Calibri"/>
          <w:b/>
          <w:sz w:val="20"/>
          <w:szCs w:val="20"/>
        </w:rPr>
      </w:pPr>
    </w:p>
    <w:p w:rsidR="006665BB" w:rsidRDefault="006665BB" w:rsidP="007F280A">
      <w:pPr>
        <w:tabs>
          <w:tab w:val="left" w:pos="426"/>
        </w:tabs>
        <w:spacing w:after="0" w:line="240" w:lineRule="auto"/>
        <w:rPr>
          <w:rFonts w:ascii="Calibri" w:hAnsi="Calibri"/>
          <w:b/>
          <w:sz w:val="20"/>
          <w:szCs w:val="20"/>
        </w:rPr>
      </w:pPr>
    </w:p>
    <w:p w:rsidR="00B66F57" w:rsidRDefault="00B66F57" w:rsidP="007F280A">
      <w:pPr>
        <w:tabs>
          <w:tab w:val="left" w:pos="426"/>
        </w:tabs>
        <w:spacing w:after="0" w:line="240" w:lineRule="auto"/>
        <w:rPr>
          <w:rFonts w:ascii="Calibri" w:hAnsi="Calibri"/>
          <w:b/>
          <w:sz w:val="20"/>
          <w:szCs w:val="20"/>
        </w:rPr>
      </w:pPr>
    </w:p>
    <w:p w:rsidR="00B66F57" w:rsidRDefault="00B66F57" w:rsidP="007F280A">
      <w:pPr>
        <w:tabs>
          <w:tab w:val="left" w:pos="426"/>
        </w:tabs>
        <w:spacing w:after="0" w:line="240" w:lineRule="auto"/>
        <w:rPr>
          <w:rFonts w:ascii="Calibri" w:hAnsi="Calibri"/>
          <w:b/>
          <w:sz w:val="20"/>
          <w:szCs w:val="20"/>
        </w:rPr>
      </w:pPr>
    </w:p>
    <w:p w:rsidR="00B66F57" w:rsidRDefault="00B66F57" w:rsidP="007F280A">
      <w:pPr>
        <w:tabs>
          <w:tab w:val="left" w:pos="426"/>
        </w:tabs>
        <w:spacing w:after="0" w:line="240" w:lineRule="auto"/>
        <w:rPr>
          <w:rFonts w:ascii="Calibri" w:hAnsi="Calibri"/>
          <w:b/>
          <w:sz w:val="20"/>
          <w:szCs w:val="20"/>
        </w:rPr>
      </w:pPr>
    </w:p>
    <w:p w:rsidR="00B66F57" w:rsidRDefault="00B66F57" w:rsidP="007F280A">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B66F57" w:rsidRDefault="00B66F57" w:rsidP="00B66F57">
      <w:pPr>
        <w:tabs>
          <w:tab w:val="left" w:pos="426"/>
        </w:tabs>
        <w:spacing w:after="0" w:line="240" w:lineRule="auto"/>
        <w:rPr>
          <w:rFonts w:ascii="Calibri" w:hAnsi="Calibri"/>
          <w:b/>
          <w:sz w:val="20"/>
          <w:szCs w:val="20"/>
        </w:rPr>
      </w:pPr>
    </w:p>
    <w:p w:rsidR="00CC493E" w:rsidRDefault="00CC493E" w:rsidP="00B66F57">
      <w:pPr>
        <w:tabs>
          <w:tab w:val="left" w:pos="426"/>
        </w:tabs>
        <w:spacing w:after="0" w:line="240" w:lineRule="auto"/>
        <w:rPr>
          <w:rFonts w:ascii="Calibri" w:hAnsi="Calibri"/>
          <w:b/>
          <w:sz w:val="20"/>
          <w:szCs w:val="20"/>
        </w:rPr>
      </w:pPr>
    </w:p>
    <w:p w:rsidR="00B66F57" w:rsidRDefault="006B394E" w:rsidP="00B66F57">
      <w:pPr>
        <w:tabs>
          <w:tab w:val="left" w:pos="426"/>
        </w:tabs>
        <w:spacing w:after="0" w:line="240" w:lineRule="auto"/>
        <w:rPr>
          <w:rFonts w:ascii="Calibri" w:hAnsi="Calibri"/>
          <w:b/>
          <w:sz w:val="20"/>
          <w:szCs w:val="20"/>
        </w:rPr>
      </w:pPr>
      <w:r w:rsidRPr="00113492">
        <w:rPr>
          <w:rFonts w:ascii="Calibri" w:hAnsi="Calibri"/>
          <w:b/>
          <w:sz w:val="20"/>
          <w:szCs w:val="20"/>
        </w:rPr>
        <w:t>14</w:t>
      </w:r>
      <w:r w:rsidR="007F280A" w:rsidRPr="00113492">
        <w:rPr>
          <w:rFonts w:ascii="Calibri" w:hAnsi="Calibri"/>
          <w:b/>
          <w:sz w:val="20"/>
          <w:szCs w:val="20"/>
        </w:rPr>
        <w:t>. Información por Segmentos.</w:t>
      </w:r>
    </w:p>
    <w:p w:rsidR="00B66F57" w:rsidRPr="00B66F57" w:rsidRDefault="00B66F57" w:rsidP="00B66F57">
      <w:pPr>
        <w:tabs>
          <w:tab w:val="left" w:pos="426"/>
        </w:tabs>
        <w:spacing w:after="0" w:line="240" w:lineRule="auto"/>
        <w:rPr>
          <w:rFonts w:ascii="Calibri" w:hAnsi="Calibri"/>
          <w:b/>
          <w:sz w:val="20"/>
          <w:szCs w:val="20"/>
        </w:rPr>
      </w:pPr>
    </w:p>
    <w:p w:rsidR="00BE0EA5" w:rsidRDefault="00E1541F" w:rsidP="00AA1395">
      <w:pPr>
        <w:jc w:val="both"/>
        <w:rPr>
          <w:rFonts w:ascii="Calibri" w:hAnsi="Calibri"/>
          <w:sz w:val="20"/>
          <w:szCs w:val="20"/>
        </w:rPr>
      </w:pPr>
      <w:r>
        <w:rPr>
          <w:rFonts w:ascii="Calibri" w:hAnsi="Calibri"/>
          <w:sz w:val="20"/>
          <w:szCs w:val="20"/>
        </w:rPr>
        <w:t>Al</w:t>
      </w:r>
      <w:r w:rsidR="00927A28">
        <w:rPr>
          <w:rFonts w:ascii="Calibri" w:hAnsi="Calibri"/>
          <w:sz w:val="20"/>
          <w:szCs w:val="20"/>
        </w:rPr>
        <w:t xml:space="preserve"> </w:t>
      </w:r>
      <w:r w:rsidR="00D07ED8">
        <w:rPr>
          <w:rFonts w:cstheme="minorHAnsi"/>
          <w:sz w:val="20"/>
          <w:szCs w:val="20"/>
        </w:rPr>
        <w:t>30 de junio</w:t>
      </w:r>
      <w:r w:rsidR="00ED1850">
        <w:rPr>
          <w:rFonts w:cstheme="minorHAnsi"/>
          <w:sz w:val="20"/>
          <w:szCs w:val="20"/>
        </w:rPr>
        <w:t xml:space="preserve"> </w:t>
      </w:r>
      <w:r w:rsidR="00490EDC">
        <w:rPr>
          <w:rFonts w:cstheme="minorHAnsi"/>
          <w:sz w:val="20"/>
          <w:szCs w:val="20"/>
        </w:rPr>
        <w:t>de 2021</w:t>
      </w:r>
      <w:r w:rsidR="001A0EF5">
        <w:rPr>
          <w:rFonts w:ascii="Calibri" w:hAnsi="Calibri"/>
          <w:sz w:val="20"/>
          <w:szCs w:val="20"/>
        </w:rPr>
        <w:t xml:space="preserve"> se tuvi</w:t>
      </w:r>
      <w:r w:rsidR="00A73C3D">
        <w:rPr>
          <w:rFonts w:ascii="Calibri" w:hAnsi="Calibri"/>
          <w:sz w:val="20"/>
          <w:szCs w:val="20"/>
        </w:rPr>
        <w:t xml:space="preserve">eron </w:t>
      </w:r>
      <w:r w:rsidR="00ED5D06">
        <w:rPr>
          <w:rFonts w:ascii="Calibri" w:hAnsi="Calibri"/>
          <w:sz w:val="20"/>
          <w:szCs w:val="20"/>
        </w:rPr>
        <w:t xml:space="preserve">ingresos por </w:t>
      </w:r>
      <w:r w:rsidR="00ED5D06" w:rsidRPr="000869CE">
        <w:rPr>
          <w:rFonts w:ascii="Calibri" w:hAnsi="Calibri"/>
          <w:sz w:val="20"/>
          <w:szCs w:val="20"/>
        </w:rPr>
        <w:t>$</w:t>
      </w:r>
      <w:r w:rsidR="006C3FA2">
        <w:rPr>
          <w:sz w:val="20"/>
          <w:szCs w:val="20"/>
        </w:rPr>
        <w:t xml:space="preserve"> 18,497,797</w:t>
      </w:r>
      <w:r w:rsidR="00490EDC">
        <w:rPr>
          <w:sz w:val="20"/>
          <w:szCs w:val="20"/>
        </w:rPr>
        <w:t xml:space="preserve"> </w:t>
      </w:r>
      <w:r w:rsidR="001A0EF5">
        <w:rPr>
          <w:rFonts w:ascii="Calibri" w:hAnsi="Calibri"/>
          <w:sz w:val="20"/>
          <w:szCs w:val="20"/>
        </w:rPr>
        <w:t>pe</w:t>
      </w:r>
      <w:r w:rsidR="002D7890">
        <w:rPr>
          <w:rFonts w:ascii="Calibri" w:hAnsi="Calibri"/>
          <w:sz w:val="20"/>
          <w:szCs w:val="20"/>
        </w:rPr>
        <w:t xml:space="preserve">sos y egresos por </w:t>
      </w:r>
      <w:r w:rsidR="00ED5D06">
        <w:rPr>
          <w:rFonts w:ascii="Calibri" w:hAnsi="Calibri"/>
          <w:sz w:val="20"/>
          <w:szCs w:val="20"/>
        </w:rPr>
        <w:t>$</w:t>
      </w:r>
      <w:r w:rsidR="00DB4A39">
        <w:rPr>
          <w:rFonts w:ascii="Calibri" w:hAnsi="Calibri"/>
          <w:sz w:val="20"/>
          <w:szCs w:val="20"/>
        </w:rPr>
        <w:t xml:space="preserve"> </w:t>
      </w:r>
      <w:r w:rsidR="006C3FA2">
        <w:rPr>
          <w:rFonts w:ascii="Calibri" w:hAnsi="Calibri"/>
          <w:sz w:val="20"/>
          <w:szCs w:val="20"/>
        </w:rPr>
        <w:t>14,844,796</w:t>
      </w:r>
      <w:r w:rsidR="006665BB">
        <w:rPr>
          <w:rFonts w:ascii="Calibri" w:hAnsi="Calibri"/>
          <w:sz w:val="20"/>
          <w:szCs w:val="20"/>
        </w:rPr>
        <w:t xml:space="preserve"> </w:t>
      </w:r>
      <w:r w:rsidR="00D61A63">
        <w:rPr>
          <w:rFonts w:ascii="Calibri" w:hAnsi="Calibri"/>
          <w:sz w:val="20"/>
          <w:szCs w:val="20"/>
        </w:rPr>
        <w:t>pesos. A continuación, se presenta el desglose de dicha información:</w:t>
      </w:r>
    </w:p>
    <w:p w:rsidR="00295A1C" w:rsidRDefault="006C3FA2" w:rsidP="00E96318">
      <w:pPr>
        <w:jc w:val="center"/>
        <w:rPr>
          <w:rFonts w:ascii="Calibri" w:hAnsi="Calibri"/>
          <w:sz w:val="20"/>
          <w:szCs w:val="20"/>
        </w:rPr>
      </w:pPr>
      <w:r w:rsidRPr="006C3FA2">
        <w:drawing>
          <wp:inline distT="0" distB="0" distL="0" distR="0">
            <wp:extent cx="5612130" cy="4293476"/>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4293476"/>
                    </a:xfrm>
                    <a:prstGeom prst="rect">
                      <a:avLst/>
                    </a:prstGeom>
                    <a:noFill/>
                    <a:ln>
                      <a:noFill/>
                    </a:ln>
                  </pic:spPr>
                </pic:pic>
              </a:graphicData>
            </a:graphic>
          </wp:inline>
        </w:drawing>
      </w:r>
    </w:p>
    <w:p w:rsidR="00BC7C3A" w:rsidRPr="00E44F19" w:rsidRDefault="00BC7C3A" w:rsidP="00AA1395">
      <w:pPr>
        <w:jc w:val="both"/>
        <w:rPr>
          <w:rFonts w:ascii="Calibri" w:hAnsi="Calibri"/>
          <w:sz w:val="20"/>
          <w:szCs w:val="20"/>
        </w:rPr>
      </w:pPr>
    </w:p>
    <w:p w:rsidR="007F280A" w:rsidRDefault="001A0EF5" w:rsidP="00AA1395">
      <w:pPr>
        <w:jc w:val="both"/>
        <w:rPr>
          <w:rFonts w:ascii="Calibri" w:hAnsi="Calibri"/>
          <w:b/>
          <w:sz w:val="20"/>
          <w:szCs w:val="20"/>
        </w:rPr>
      </w:pPr>
      <w:r>
        <w:rPr>
          <w:rFonts w:ascii="Calibri" w:hAnsi="Calibri"/>
          <w:b/>
          <w:sz w:val="20"/>
          <w:szCs w:val="20"/>
        </w:rPr>
        <w:t>15</w:t>
      </w:r>
      <w:r w:rsidR="007F280A" w:rsidRPr="0032478B">
        <w:rPr>
          <w:rFonts w:ascii="Calibri" w:hAnsi="Calibri"/>
          <w:b/>
          <w:sz w:val="20"/>
          <w:szCs w:val="20"/>
        </w:rPr>
        <w:t>.</w:t>
      </w:r>
      <w:r w:rsidR="007F280A">
        <w:rPr>
          <w:rFonts w:ascii="Calibri" w:hAnsi="Calibri"/>
          <w:b/>
          <w:sz w:val="20"/>
          <w:szCs w:val="20"/>
        </w:rPr>
        <w:t xml:space="preserve"> </w:t>
      </w:r>
      <w:r w:rsidR="007F280A" w:rsidRPr="0032478B">
        <w:rPr>
          <w:rFonts w:ascii="Calibri" w:hAnsi="Calibri"/>
          <w:b/>
          <w:sz w:val="20"/>
          <w:szCs w:val="20"/>
        </w:rPr>
        <w:t>Eventos Posteriores al Cierre.</w:t>
      </w:r>
    </w:p>
    <w:p w:rsidR="00490EDC" w:rsidRDefault="00490EDC" w:rsidP="00490EDC">
      <w:pPr>
        <w:jc w:val="both"/>
        <w:rPr>
          <w:rFonts w:ascii="Calibri" w:hAnsi="Calibri"/>
          <w:sz w:val="20"/>
          <w:szCs w:val="20"/>
        </w:rPr>
      </w:pPr>
      <w:r>
        <w:rPr>
          <w:rFonts w:ascii="Calibri" w:hAnsi="Calibri"/>
          <w:sz w:val="20"/>
          <w:szCs w:val="20"/>
        </w:rPr>
        <w:t xml:space="preserve">No aplica. </w:t>
      </w:r>
      <w:r w:rsidRPr="00853E3D">
        <w:rPr>
          <w:rFonts w:ascii="Calibri" w:hAnsi="Calibri"/>
          <w:sz w:val="20"/>
          <w:szCs w:val="20"/>
        </w:rPr>
        <w:t xml:space="preserve">El </w:t>
      </w:r>
      <w:r w:rsidRPr="00522D65">
        <w:rPr>
          <w:rFonts w:cstheme="minorHAnsi"/>
          <w:sz w:val="20"/>
          <w:szCs w:val="20"/>
        </w:rPr>
        <w:t>Fideicomiso Público para el Desarrollo del Turismo de Reuniones en Yucatán</w:t>
      </w:r>
      <w:r w:rsidR="00927A28">
        <w:rPr>
          <w:rFonts w:cstheme="minorHAnsi"/>
          <w:sz w:val="20"/>
          <w:szCs w:val="20"/>
        </w:rPr>
        <w:t xml:space="preserve"> al </w:t>
      </w:r>
      <w:r w:rsidR="00D07ED8">
        <w:rPr>
          <w:rFonts w:cstheme="minorHAnsi"/>
          <w:sz w:val="20"/>
          <w:szCs w:val="20"/>
        </w:rPr>
        <w:t>30 de junio</w:t>
      </w:r>
      <w:r w:rsidR="00ED1850">
        <w:rPr>
          <w:rFonts w:cstheme="minorHAnsi"/>
          <w:sz w:val="20"/>
          <w:szCs w:val="20"/>
        </w:rPr>
        <w:t xml:space="preserve"> </w:t>
      </w:r>
      <w:r>
        <w:rPr>
          <w:rFonts w:cstheme="minorHAnsi"/>
          <w:sz w:val="20"/>
          <w:szCs w:val="20"/>
        </w:rPr>
        <w:t>de 2021</w:t>
      </w:r>
      <w:r>
        <w:rPr>
          <w:rFonts w:ascii="Calibri" w:hAnsi="Calibri"/>
          <w:sz w:val="20"/>
          <w:szCs w:val="20"/>
        </w:rPr>
        <w:t xml:space="preserve"> no ha realizado modificaciones posteriores que afecten la contabilidad de ejercicios anteriores.</w:t>
      </w:r>
      <w:r w:rsidRPr="00853E3D">
        <w:rPr>
          <w:rFonts w:ascii="Calibri" w:hAnsi="Calibri"/>
          <w:sz w:val="20"/>
          <w:szCs w:val="20"/>
        </w:rPr>
        <w:t xml:space="preserve"> </w:t>
      </w:r>
    </w:p>
    <w:p w:rsidR="000869CE" w:rsidRDefault="000869CE" w:rsidP="00AA1395">
      <w:pPr>
        <w:tabs>
          <w:tab w:val="left" w:pos="426"/>
        </w:tabs>
        <w:spacing w:after="0" w:line="240" w:lineRule="auto"/>
        <w:jc w:val="both"/>
        <w:rPr>
          <w:rFonts w:ascii="Calibri" w:hAnsi="Calibri"/>
          <w:b/>
          <w:sz w:val="20"/>
          <w:szCs w:val="20"/>
        </w:rPr>
      </w:pPr>
    </w:p>
    <w:p w:rsidR="007F280A" w:rsidRDefault="001A0EF5" w:rsidP="00AA1395">
      <w:pPr>
        <w:tabs>
          <w:tab w:val="left" w:pos="426"/>
        </w:tabs>
        <w:spacing w:after="0" w:line="240" w:lineRule="auto"/>
        <w:jc w:val="both"/>
        <w:rPr>
          <w:rFonts w:ascii="Calibri" w:hAnsi="Calibri"/>
          <w:b/>
          <w:sz w:val="20"/>
          <w:szCs w:val="20"/>
        </w:rPr>
      </w:pPr>
      <w:r>
        <w:rPr>
          <w:rFonts w:ascii="Calibri" w:hAnsi="Calibri"/>
          <w:b/>
          <w:sz w:val="20"/>
          <w:szCs w:val="20"/>
        </w:rPr>
        <w:t>16</w:t>
      </w:r>
      <w:r w:rsidR="007F280A">
        <w:rPr>
          <w:rFonts w:ascii="Calibri" w:hAnsi="Calibri"/>
          <w:b/>
          <w:sz w:val="20"/>
          <w:szCs w:val="20"/>
        </w:rPr>
        <w:t xml:space="preserve">. </w:t>
      </w:r>
      <w:r w:rsidR="007F280A" w:rsidRPr="0032478B">
        <w:rPr>
          <w:rFonts w:ascii="Calibri" w:hAnsi="Calibri"/>
          <w:b/>
          <w:sz w:val="20"/>
          <w:szCs w:val="20"/>
        </w:rPr>
        <w:t>Partes relacionadas.</w:t>
      </w:r>
    </w:p>
    <w:p w:rsidR="007F280A" w:rsidRPr="00853E3D" w:rsidRDefault="007F280A" w:rsidP="00AA1395">
      <w:pPr>
        <w:tabs>
          <w:tab w:val="left" w:pos="426"/>
        </w:tabs>
        <w:spacing w:after="0" w:line="240" w:lineRule="auto"/>
        <w:jc w:val="both"/>
        <w:rPr>
          <w:rFonts w:ascii="Calibri" w:hAnsi="Calibri"/>
          <w:b/>
          <w:sz w:val="20"/>
          <w:szCs w:val="20"/>
        </w:rPr>
      </w:pPr>
    </w:p>
    <w:p w:rsidR="00BE0EA5" w:rsidRPr="00E44F19" w:rsidRDefault="00BE0EA5" w:rsidP="00E44F19">
      <w:pPr>
        <w:autoSpaceDE w:val="0"/>
        <w:jc w:val="both"/>
        <w:rPr>
          <w:rFonts w:ascii="Calibri" w:hAnsi="Calibri"/>
          <w:sz w:val="20"/>
          <w:szCs w:val="20"/>
        </w:rPr>
      </w:pPr>
      <w:r>
        <w:rPr>
          <w:rFonts w:ascii="Calibri" w:hAnsi="Calibri"/>
          <w:sz w:val="20"/>
          <w:szCs w:val="20"/>
        </w:rPr>
        <w:t>No aplica</w:t>
      </w:r>
      <w:r w:rsidR="00506534">
        <w:rPr>
          <w:rFonts w:ascii="Calibri" w:hAnsi="Calibri"/>
          <w:sz w:val="20"/>
          <w:szCs w:val="20"/>
        </w:rPr>
        <w:t>.</w:t>
      </w:r>
      <w:r w:rsidRPr="00853E3D">
        <w:rPr>
          <w:rFonts w:ascii="Calibri" w:hAnsi="Calibri"/>
          <w:sz w:val="20"/>
          <w:szCs w:val="20"/>
        </w:rPr>
        <w:t xml:space="preserve"> </w:t>
      </w:r>
      <w:r w:rsidR="007F280A" w:rsidRPr="00853E3D">
        <w:rPr>
          <w:rFonts w:ascii="Calibri" w:hAnsi="Calibri"/>
          <w:sz w:val="20"/>
          <w:szCs w:val="20"/>
        </w:rPr>
        <w:t>Se manifiesta que no existen partes relacionadas que pudieran ejercer influencia significativa sobre la toma de decisiones y financieras y operativas.</w:t>
      </w:r>
    </w:p>
    <w:p w:rsidR="00ED5D06" w:rsidRDefault="00ED5D06" w:rsidP="00640A07">
      <w:pPr>
        <w:tabs>
          <w:tab w:val="left" w:pos="426"/>
        </w:tabs>
        <w:spacing w:after="0" w:line="240" w:lineRule="auto"/>
        <w:jc w:val="both"/>
        <w:rPr>
          <w:rFonts w:ascii="Calibri" w:hAnsi="Calibri"/>
          <w:b/>
          <w:sz w:val="20"/>
          <w:szCs w:val="20"/>
        </w:rPr>
      </w:pPr>
    </w:p>
    <w:p w:rsidR="00C05CFC" w:rsidRDefault="00C05CFC" w:rsidP="00640A07">
      <w:pPr>
        <w:tabs>
          <w:tab w:val="left" w:pos="426"/>
        </w:tabs>
        <w:spacing w:after="0" w:line="240" w:lineRule="auto"/>
        <w:jc w:val="both"/>
        <w:rPr>
          <w:rFonts w:ascii="Calibri" w:hAnsi="Calibri"/>
          <w:b/>
          <w:sz w:val="20"/>
          <w:szCs w:val="20"/>
        </w:rPr>
      </w:pPr>
    </w:p>
    <w:p w:rsidR="00490EDC" w:rsidRDefault="00490EDC" w:rsidP="00640A07">
      <w:pPr>
        <w:tabs>
          <w:tab w:val="left" w:pos="426"/>
        </w:tabs>
        <w:spacing w:after="0" w:line="240" w:lineRule="auto"/>
        <w:jc w:val="both"/>
        <w:rPr>
          <w:rFonts w:ascii="Calibri" w:hAnsi="Calibri"/>
          <w:b/>
          <w:sz w:val="20"/>
          <w:szCs w:val="20"/>
        </w:rPr>
      </w:pPr>
    </w:p>
    <w:p w:rsidR="00490EDC" w:rsidRDefault="00490EDC" w:rsidP="00640A07">
      <w:pPr>
        <w:tabs>
          <w:tab w:val="left" w:pos="426"/>
        </w:tabs>
        <w:spacing w:after="0" w:line="240" w:lineRule="auto"/>
        <w:jc w:val="both"/>
        <w:rPr>
          <w:rFonts w:ascii="Calibri" w:hAnsi="Calibri"/>
          <w:b/>
          <w:sz w:val="20"/>
          <w:szCs w:val="20"/>
        </w:rPr>
      </w:pPr>
    </w:p>
    <w:p w:rsidR="001A0EF5" w:rsidRDefault="00640A07" w:rsidP="00640A07">
      <w:pPr>
        <w:tabs>
          <w:tab w:val="left" w:pos="426"/>
        </w:tabs>
        <w:spacing w:after="0" w:line="240" w:lineRule="auto"/>
        <w:jc w:val="both"/>
        <w:rPr>
          <w:rFonts w:ascii="Calibri" w:hAnsi="Calibri"/>
          <w:b/>
          <w:sz w:val="20"/>
          <w:szCs w:val="20"/>
        </w:rPr>
      </w:pPr>
      <w:r w:rsidRPr="00640A07">
        <w:rPr>
          <w:rFonts w:ascii="Calibri" w:hAnsi="Calibri"/>
          <w:b/>
          <w:sz w:val="20"/>
          <w:szCs w:val="20"/>
        </w:rPr>
        <w:lastRenderedPageBreak/>
        <w:t>17. Responsabilidad Sobre la Presentación Razonable de la Información Contable</w:t>
      </w:r>
      <w:r>
        <w:rPr>
          <w:rFonts w:ascii="Calibri" w:hAnsi="Calibri"/>
          <w:b/>
          <w:sz w:val="20"/>
          <w:szCs w:val="20"/>
        </w:rPr>
        <w:t>.</w:t>
      </w:r>
    </w:p>
    <w:p w:rsidR="00640A07" w:rsidRPr="00640A07" w:rsidRDefault="00640A07" w:rsidP="00640A07">
      <w:pPr>
        <w:tabs>
          <w:tab w:val="left" w:pos="426"/>
        </w:tabs>
        <w:spacing w:after="0" w:line="240" w:lineRule="auto"/>
        <w:jc w:val="both"/>
        <w:rPr>
          <w:rFonts w:ascii="Calibri" w:hAnsi="Calibri"/>
          <w:b/>
          <w:sz w:val="20"/>
          <w:szCs w:val="20"/>
        </w:rPr>
      </w:pPr>
    </w:p>
    <w:p w:rsidR="009A66E6" w:rsidRDefault="009A66E6" w:rsidP="00F64FC1">
      <w:pPr>
        <w:jc w:val="both"/>
        <w:rPr>
          <w:rFonts w:ascii="Calibri" w:hAnsi="Calibri"/>
          <w:sz w:val="20"/>
          <w:szCs w:val="20"/>
        </w:rPr>
      </w:pPr>
      <w:r w:rsidRPr="00853E3D">
        <w:rPr>
          <w:rFonts w:ascii="Calibri" w:hAnsi="Calibri"/>
          <w:sz w:val="20"/>
          <w:szCs w:val="20"/>
        </w:rPr>
        <w:t>Estas notas son parte integrante</w:t>
      </w:r>
      <w:r>
        <w:rPr>
          <w:rFonts w:ascii="Calibri" w:hAnsi="Calibri"/>
          <w:sz w:val="20"/>
          <w:szCs w:val="20"/>
        </w:rPr>
        <w:t xml:space="preserve"> </w:t>
      </w:r>
      <w:r w:rsidR="007F280A">
        <w:rPr>
          <w:rFonts w:ascii="Calibri" w:hAnsi="Calibri"/>
          <w:sz w:val="20"/>
          <w:szCs w:val="20"/>
        </w:rPr>
        <w:t>de los estados financieros</w:t>
      </w:r>
      <w:r w:rsidR="000D0B47">
        <w:rPr>
          <w:rFonts w:ascii="Calibri" w:hAnsi="Calibri"/>
          <w:sz w:val="20"/>
          <w:szCs w:val="20"/>
        </w:rPr>
        <w:t xml:space="preserve"> al </w:t>
      </w:r>
      <w:r w:rsidR="00D07ED8">
        <w:rPr>
          <w:rFonts w:cstheme="minorHAnsi"/>
          <w:sz w:val="20"/>
          <w:szCs w:val="20"/>
        </w:rPr>
        <w:t>30 de junio</w:t>
      </w:r>
      <w:r w:rsidR="00ED1850">
        <w:rPr>
          <w:rFonts w:cstheme="minorHAnsi"/>
          <w:sz w:val="20"/>
          <w:szCs w:val="20"/>
        </w:rPr>
        <w:t xml:space="preserve"> </w:t>
      </w:r>
      <w:r w:rsidR="00490EDC">
        <w:rPr>
          <w:rFonts w:cstheme="minorHAnsi"/>
          <w:sz w:val="20"/>
          <w:szCs w:val="20"/>
        </w:rPr>
        <w:t>de 2021</w:t>
      </w:r>
      <w:r>
        <w:rPr>
          <w:rFonts w:ascii="Calibri" w:hAnsi="Calibri"/>
          <w:sz w:val="20"/>
          <w:szCs w:val="20"/>
        </w:rPr>
        <w:t>.</w:t>
      </w:r>
    </w:p>
    <w:p w:rsidR="00E44F19" w:rsidRDefault="00E44F19" w:rsidP="009A66E6">
      <w:pPr>
        <w:jc w:val="center"/>
        <w:rPr>
          <w:rFonts w:ascii="Calibri" w:hAnsi="Calibri"/>
          <w:sz w:val="20"/>
          <w:szCs w:val="20"/>
        </w:rPr>
      </w:pPr>
    </w:p>
    <w:p w:rsidR="009A66E6" w:rsidRPr="00845339" w:rsidRDefault="009A66E6" w:rsidP="00845339">
      <w:pPr>
        <w:jc w:val="center"/>
        <w:rPr>
          <w:rFonts w:ascii="Calibri" w:hAnsi="Calibri"/>
          <w:sz w:val="20"/>
          <w:szCs w:val="20"/>
        </w:rPr>
      </w:pPr>
      <w:r w:rsidRPr="00853E3D">
        <w:rPr>
          <w:rFonts w:ascii="Calibri" w:hAnsi="Calibri"/>
          <w:sz w:val="20"/>
          <w:szCs w:val="20"/>
        </w:rPr>
        <w:t>“Bajo protesta de decir verdad declaramos que los Estados Financieros y sus notas,</w:t>
      </w:r>
      <w:r w:rsidR="00845339">
        <w:rPr>
          <w:rFonts w:ascii="Calibri" w:hAnsi="Calibri"/>
          <w:sz w:val="20"/>
          <w:szCs w:val="20"/>
        </w:rPr>
        <w:t xml:space="preserve"> </w:t>
      </w:r>
      <w:r w:rsidRPr="00853E3D">
        <w:rPr>
          <w:rFonts w:ascii="Calibri" w:hAnsi="Calibri"/>
          <w:sz w:val="20"/>
          <w:szCs w:val="20"/>
        </w:rPr>
        <w:t>son razonablemente correctos y son responsables del emisor”</w:t>
      </w:r>
    </w:p>
    <w:p w:rsidR="009A66E6" w:rsidRPr="00853E3D" w:rsidRDefault="006F0E3F" w:rsidP="009A66E6">
      <w:pPr>
        <w:rPr>
          <w:rFonts w:ascii="Calibri" w:hAnsi="Calibri" w:cs="Arial"/>
          <w:bCs/>
          <w:sz w:val="20"/>
          <w:szCs w:val="20"/>
        </w:rPr>
      </w:pPr>
      <w:r>
        <w:rPr>
          <w:noProof/>
          <w:lang w:eastAsia="es-MX"/>
        </w:rPr>
        <w:drawing>
          <wp:inline distT="0" distB="0" distL="0" distR="0" wp14:anchorId="4CE216A9" wp14:editId="133F5EC1">
            <wp:extent cx="5612130" cy="1477645"/>
            <wp:effectExtent l="0" t="0" r="0" b="8255"/>
            <wp:docPr id="10" name="Imagen 9"/>
            <wp:cNvGraphicFramePr/>
            <a:graphic xmlns:a="http://schemas.openxmlformats.org/drawingml/2006/main">
              <a:graphicData uri="http://schemas.openxmlformats.org/drawingml/2006/picture">
                <pic:pic xmlns:pic="http://schemas.openxmlformats.org/drawingml/2006/picture">
                  <pic:nvPicPr>
                    <pic:cNvPr id="10" name="Imagen 9"/>
                    <pic:cNvPicPr/>
                  </pic:nvPicPr>
                  <pic:blipFill rotWithShape="1">
                    <a:blip r:embed="rId35" cstate="print">
                      <a:extLst>
                        <a:ext uri="{28A0092B-C50C-407E-A947-70E740481C1C}">
                          <a14:useLocalDpi xmlns:a14="http://schemas.microsoft.com/office/drawing/2010/main" val="0"/>
                        </a:ext>
                      </a:extLst>
                    </a:blip>
                    <a:srcRect t="68284"/>
                    <a:stretch/>
                  </pic:blipFill>
                  <pic:spPr bwMode="auto">
                    <a:xfrm>
                      <a:off x="0" y="0"/>
                      <a:ext cx="5612130" cy="1477645"/>
                    </a:xfrm>
                    <a:prstGeom prst="rect">
                      <a:avLst/>
                    </a:prstGeom>
                    <a:noFill/>
                    <a:ln>
                      <a:noFill/>
                    </a:ln>
                    <a:extLst>
                      <a:ext uri="{53640926-AAD7-44D8-BBD7-CCE9431645EC}">
                        <a14:shadowObscured xmlns:a14="http://schemas.microsoft.com/office/drawing/2010/main"/>
                      </a:ext>
                    </a:extLst>
                  </pic:spPr>
                </pic:pic>
              </a:graphicData>
            </a:graphic>
          </wp:inline>
        </w:drawing>
      </w:r>
    </w:p>
    <w:p w:rsidR="008D7F4A" w:rsidRPr="00552DEC" w:rsidRDefault="008D7F4A" w:rsidP="00552DEC">
      <w:pPr>
        <w:jc w:val="center"/>
        <w:rPr>
          <w:rFonts w:ascii="Calibri" w:hAnsi="Calibri" w:cs="Arial"/>
          <w:sz w:val="20"/>
          <w:szCs w:val="20"/>
        </w:rPr>
      </w:pPr>
    </w:p>
    <w:sectPr w:rsidR="008D7F4A" w:rsidRPr="00552DEC">
      <w:head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B6" w:rsidRDefault="008C01B6" w:rsidP="005074AB">
      <w:pPr>
        <w:spacing w:after="0" w:line="240" w:lineRule="auto"/>
      </w:pPr>
      <w:r>
        <w:separator/>
      </w:r>
    </w:p>
  </w:endnote>
  <w:endnote w:type="continuationSeparator" w:id="0">
    <w:p w:rsidR="008C01B6" w:rsidRDefault="008C01B6" w:rsidP="0050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B6" w:rsidRDefault="008C01B6" w:rsidP="005074AB">
      <w:pPr>
        <w:spacing w:after="0" w:line="240" w:lineRule="auto"/>
      </w:pPr>
      <w:r>
        <w:separator/>
      </w:r>
    </w:p>
  </w:footnote>
  <w:footnote w:type="continuationSeparator" w:id="0">
    <w:p w:rsidR="008C01B6" w:rsidRDefault="008C01B6" w:rsidP="0050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9D" w:rsidRDefault="0043309D">
    <w:pPr>
      <w:pStyle w:val="Encabezado"/>
    </w:pPr>
    <w:r>
      <w:rPr>
        <w:noProof/>
        <w:lang w:eastAsia="es-MX"/>
      </w:rPr>
      <w:drawing>
        <wp:anchor distT="0" distB="0" distL="114300" distR="114300" simplePos="0" relativeHeight="251660288" behindDoc="0" locked="0" layoutInCell="1" allowOverlap="1" wp14:anchorId="0B8CC17A" wp14:editId="31E70A1C">
          <wp:simplePos x="0" y="0"/>
          <wp:positionH relativeFrom="column">
            <wp:posOffset>4472940</wp:posOffset>
          </wp:positionH>
          <wp:positionV relativeFrom="paragraph">
            <wp:posOffset>-220980</wp:posOffset>
          </wp:positionV>
          <wp:extent cx="1960879" cy="603348"/>
          <wp:effectExtent l="0" t="0" r="1905" b="6350"/>
          <wp:wrapNone/>
          <wp:docPr id="6" name="Imagen 6" descr="Resultado de imagen para logo gobierno del estado de yucatan 2018-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del estado de yucatan 2018-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79" cy="6033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-459105</wp:posOffset>
          </wp:positionV>
          <wp:extent cx="7791450" cy="1008269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TURE HOJA MEMBRETA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6222" cy="10088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AB4"/>
    <w:multiLevelType w:val="hybridMultilevel"/>
    <w:tmpl w:val="B4383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D66DF9"/>
    <w:multiLevelType w:val="hybridMultilevel"/>
    <w:tmpl w:val="79C061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6A7761"/>
    <w:multiLevelType w:val="hybridMultilevel"/>
    <w:tmpl w:val="2F26100A"/>
    <w:lvl w:ilvl="0" w:tplc="0C0A0001">
      <w:start w:val="1"/>
      <w:numFmt w:val="bullet"/>
      <w:lvlText w:val=""/>
      <w:lvlJc w:val="left"/>
      <w:pPr>
        <w:ind w:left="229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535AD2"/>
    <w:multiLevelType w:val="hybridMultilevel"/>
    <w:tmpl w:val="255C8A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D51064"/>
    <w:multiLevelType w:val="hybridMultilevel"/>
    <w:tmpl w:val="255C8A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2550C1"/>
    <w:multiLevelType w:val="hybridMultilevel"/>
    <w:tmpl w:val="0D8C0080"/>
    <w:lvl w:ilvl="0" w:tplc="32ECE51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06446"/>
    <w:multiLevelType w:val="hybridMultilevel"/>
    <w:tmpl w:val="369C6C10"/>
    <w:lvl w:ilvl="0" w:tplc="080A000F">
      <w:start w:val="6"/>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826724"/>
    <w:multiLevelType w:val="hybridMultilevel"/>
    <w:tmpl w:val="255C8A6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C970ED"/>
    <w:multiLevelType w:val="hybridMultilevel"/>
    <w:tmpl w:val="255C8A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822689"/>
    <w:multiLevelType w:val="hybridMultilevel"/>
    <w:tmpl w:val="E51058E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2D3521"/>
    <w:multiLevelType w:val="hybridMultilevel"/>
    <w:tmpl w:val="FA844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565CC8"/>
    <w:multiLevelType w:val="multilevel"/>
    <w:tmpl w:val="5770B5C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2"/>
      <w:numFmt w:val="decimal"/>
      <w:lvlText w:val="%1.%2.%3.%4.%5"/>
      <w:lvlJc w:val="left"/>
      <w:pPr>
        <w:ind w:left="862" w:hanging="72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73653"/>
    <w:multiLevelType w:val="multilevel"/>
    <w:tmpl w:val="A23C846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C7313A"/>
    <w:multiLevelType w:val="hybridMultilevel"/>
    <w:tmpl w:val="F8DCA4A4"/>
    <w:lvl w:ilvl="0" w:tplc="406E0F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3D5814"/>
    <w:multiLevelType w:val="hybridMultilevel"/>
    <w:tmpl w:val="8318D4E6"/>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66021"/>
    <w:multiLevelType w:val="hybridMultilevel"/>
    <w:tmpl w:val="2E3060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6DB0BE9"/>
    <w:multiLevelType w:val="hybridMultilevel"/>
    <w:tmpl w:val="AC522FC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7B2A5A"/>
    <w:multiLevelType w:val="hybridMultilevel"/>
    <w:tmpl w:val="D55A74A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2"/>
  </w:num>
  <w:num w:numId="6">
    <w:abstractNumId w:val="0"/>
  </w:num>
  <w:num w:numId="7">
    <w:abstractNumId w:val="8"/>
  </w:num>
  <w:num w:numId="8">
    <w:abstractNumId w:val="13"/>
  </w:num>
  <w:num w:numId="9">
    <w:abstractNumId w:val="9"/>
  </w:num>
  <w:num w:numId="10">
    <w:abstractNumId w:val="16"/>
  </w:num>
  <w:num w:numId="11">
    <w:abstractNumId w:val="6"/>
  </w:num>
  <w:num w:numId="12">
    <w:abstractNumId w:val="11"/>
  </w:num>
  <w:num w:numId="13">
    <w:abstractNumId w:val="14"/>
  </w:num>
  <w:num w:numId="14">
    <w:abstractNumId w:val="4"/>
  </w:num>
  <w:num w:numId="15">
    <w:abstractNumId w:val="3"/>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AB"/>
    <w:rsid w:val="00012324"/>
    <w:rsid w:val="000158BF"/>
    <w:rsid w:val="00021D46"/>
    <w:rsid w:val="00024317"/>
    <w:rsid w:val="000455F6"/>
    <w:rsid w:val="0004620C"/>
    <w:rsid w:val="00067B70"/>
    <w:rsid w:val="000747FB"/>
    <w:rsid w:val="000762C2"/>
    <w:rsid w:val="000804A3"/>
    <w:rsid w:val="0008114F"/>
    <w:rsid w:val="00083A72"/>
    <w:rsid w:val="000869CE"/>
    <w:rsid w:val="000947B3"/>
    <w:rsid w:val="000A10D9"/>
    <w:rsid w:val="000A6234"/>
    <w:rsid w:val="000C0C57"/>
    <w:rsid w:val="000C5C7E"/>
    <w:rsid w:val="000C797D"/>
    <w:rsid w:val="000D086D"/>
    <w:rsid w:val="000D0B47"/>
    <w:rsid w:val="000D1CCB"/>
    <w:rsid w:val="000D33A9"/>
    <w:rsid w:val="000D36AC"/>
    <w:rsid w:val="000D6AD1"/>
    <w:rsid w:val="000D6B47"/>
    <w:rsid w:val="000E0FBD"/>
    <w:rsid w:val="000E2969"/>
    <w:rsid w:val="000E2BA9"/>
    <w:rsid w:val="000F0531"/>
    <w:rsid w:val="000F1626"/>
    <w:rsid w:val="000F3E9E"/>
    <w:rsid w:val="000F4A21"/>
    <w:rsid w:val="00103AB1"/>
    <w:rsid w:val="00110134"/>
    <w:rsid w:val="00113492"/>
    <w:rsid w:val="00116DD9"/>
    <w:rsid w:val="00126CE4"/>
    <w:rsid w:val="0013493A"/>
    <w:rsid w:val="0013646C"/>
    <w:rsid w:val="00137B79"/>
    <w:rsid w:val="001559E8"/>
    <w:rsid w:val="001636D3"/>
    <w:rsid w:val="001672A7"/>
    <w:rsid w:val="00167EC4"/>
    <w:rsid w:val="00171675"/>
    <w:rsid w:val="00172ED1"/>
    <w:rsid w:val="00185891"/>
    <w:rsid w:val="00185ACD"/>
    <w:rsid w:val="00185FAB"/>
    <w:rsid w:val="0018679E"/>
    <w:rsid w:val="001903C2"/>
    <w:rsid w:val="00192634"/>
    <w:rsid w:val="0019393E"/>
    <w:rsid w:val="001A0EF5"/>
    <w:rsid w:val="001A55D4"/>
    <w:rsid w:val="001A6177"/>
    <w:rsid w:val="001A6470"/>
    <w:rsid w:val="001B3C2C"/>
    <w:rsid w:val="001C0C5D"/>
    <w:rsid w:val="001C20C6"/>
    <w:rsid w:val="001C25FA"/>
    <w:rsid w:val="001C2818"/>
    <w:rsid w:val="001C33C0"/>
    <w:rsid w:val="001D09C6"/>
    <w:rsid w:val="001D5C5C"/>
    <w:rsid w:val="001D6808"/>
    <w:rsid w:val="001D775F"/>
    <w:rsid w:val="001E0048"/>
    <w:rsid w:val="001E1036"/>
    <w:rsid w:val="001E106F"/>
    <w:rsid w:val="001E1977"/>
    <w:rsid w:val="001E5673"/>
    <w:rsid w:val="001F055E"/>
    <w:rsid w:val="001F4D74"/>
    <w:rsid w:val="001F51E2"/>
    <w:rsid w:val="001F53B3"/>
    <w:rsid w:val="002032D1"/>
    <w:rsid w:val="00203C1C"/>
    <w:rsid w:val="0020624E"/>
    <w:rsid w:val="002063A2"/>
    <w:rsid w:val="002064B5"/>
    <w:rsid w:val="00210336"/>
    <w:rsid w:val="00212EEE"/>
    <w:rsid w:val="00222F78"/>
    <w:rsid w:val="00225696"/>
    <w:rsid w:val="002262B7"/>
    <w:rsid w:val="0023043F"/>
    <w:rsid w:val="00230FE6"/>
    <w:rsid w:val="00232880"/>
    <w:rsid w:val="0024209F"/>
    <w:rsid w:val="002444BB"/>
    <w:rsid w:val="00244A45"/>
    <w:rsid w:val="0024576C"/>
    <w:rsid w:val="00252111"/>
    <w:rsid w:val="00260F69"/>
    <w:rsid w:val="00265D75"/>
    <w:rsid w:val="00266243"/>
    <w:rsid w:val="0026633E"/>
    <w:rsid w:val="00276622"/>
    <w:rsid w:val="00276766"/>
    <w:rsid w:val="00281571"/>
    <w:rsid w:val="002819BC"/>
    <w:rsid w:val="0028396B"/>
    <w:rsid w:val="00286324"/>
    <w:rsid w:val="00295A1C"/>
    <w:rsid w:val="002B3E92"/>
    <w:rsid w:val="002B4650"/>
    <w:rsid w:val="002B630D"/>
    <w:rsid w:val="002C0F31"/>
    <w:rsid w:val="002C1054"/>
    <w:rsid w:val="002C23BF"/>
    <w:rsid w:val="002C7C66"/>
    <w:rsid w:val="002C7E89"/>
    <w:rsid w:val="002D0CD1"/>
    <w:rsid w:val="002D6C89"/>
    <w:rsid w:val="002D7890"/>
    <w:rsid w:val="002E650D"/>
    <w:rsid w:val="002F7F9D"/>
    <w:rsid w:val="00304866"/>
    <w:rsid w:val="00313AF0"/>
    <w:rsid w:val="00327B4F"/>
    <w:rsid w:val="00330C95"/>
    <w:rsid w:val="00333647"/>
    <w:rsid w:val="003410CE"/>
    <w:rsid w:val="00371562"/>
    <w:rsid w:val="00376F01"/>
    <w:rsid w:val="003813E0"/>
    <w:rsid w:val="003837D8"/>
    <w:rsid w:val="00383AFF"/>
    <w:rsid w:val="0039745A"/>
    <w:rsid w:val="003A4986"/>
    <w:rsid w:val="003B3772"/>
    <w:rsid w:val="003B5758"/>
    <w:rsid w:val="003B6729"/>
    <w:rsid w:val="003C0CD7"/>
    <w:rsid w:val="003C24A7"/>
    <w:rsid w:val="003C4A26"/>
    <w:rsid w:val="003C6527"/>
    <w:rsid w:val="003C7073"/>
    <w:rsid w:val="003D09ED"/>
    <w:rsid w:val="003E089B"/>
    <w:rsid w:val="003E676B"/>
    <w:rsid w:val="003E78AC"/>
    <w:rsid w:val="003F31AF"/>
    <w:rsid w:val="0040223A"/>
    <w:rsid w:val="004037A9"/>
    <w:rsid w:val="00407D4A"/>
    <w:rsid w:val="004221C3"/>
    <w:rsid w:val="00423E3A"/>
    <w:rsid w:val="00424808"/>
    <w:rsid w:val="00425313"/>
    <w:rsid w:val="004258C6"/>
    <w:rsid w:val="00426EE9"/>
    <w:rsid w:val="0043309D"/>
    <w:rsid w:val="00434D64"/>
    <w:rsid w:val="00437327"/>
    <w:rsid w:val="00450509"/>
    <w:rsid w:val="00454B6A"/>
    <w:rsid w:val="0046214A"/>
    <w:rsid w:val="00487CFD"/>
    <w:rsid w:val="00490EDC"/>
    <w:rsid w:val="004A705F"/>
    <w:rsid w:val="004A7A28"/>
    <w:rsid w:val="004B017D"/>
    <w:rsid w:val="004B684D"/>
    <w:rsid w:val="004C0B74"/>
    <w:rsid w:val="004C10A1"/>
    <w:rsid w:val="004C25C3"/>
    <w:rsid w:val="004C2B83"/>
    <w:rsid w:val="004C7DB0"/>
    <w:rsid w:val="004E6AF5"/>
    <w:rsid w:val="004E6F8E"/>
    <w:rsid w:val="004F323D"/>
    <w:rsid w:val="005009A2"/>
    <w:rsid w:val="00505452"/>
    <w:rsid w:val="0050650F"/>
    <w:rsid w:val="00506534"/>
    <w:rsid w:val="00507272"/>
    <w:rsid w:val="005074AB"/>
    <w:rsid w:val="00507D4B"/>
    <w:rsid w:val="00515B80"/>
    <w:rsid w:val="00522D65"/>
    <w:rsid w:val="005361D9"/>
    <w:rsid w:val="00540B4E"/>
    <w:rsid w:val="00552DEC"/>
    <w:rsid w:val="005535CD"/>
    <w:rsid w:val="005578E4"/>
    <w:rsid w:val="00560064"/>
    <w:rsid w:val="0056623B"/>
    <w:rsid w:val="00570709"/>
    <w:rsid w:val="00572306"/>
    <w:rsid w:val="00575D7F"/>
    <w:rsid w:val="00582B4D"/>
    <w:rsid w:val="00584B82"/>
    <w:rsid w:val="00585404"/>
    <w:rsid w:val="005A3692"/>
    <w:rsid w:val="005A4593"/>
    <w:rsid w:val="005A4710"/>
    <w:rsid w:val="005A7D30"/>
    <w:rsid w:val="005B06B5"/>
    <w:rsid w:val="005B3F43"/>
    <w:rsid w:val="005C5665"/>
    <w:rsid w:val="005D01BD"/>
    <w:rsid w:val="005D11EE"/>
    <w:rsid w:val="005E1E5B"/>
    <w:rsid w:val="00606663"/>
    <w:rsid w:val="006176B6"/>
    <w:rsid w:val="006205F7"/>
    <w:rsid w:val="0062790B"/>
    <w:rsid w:val="00637EC0"/>
    <w:rsid w:val="00640A07"/>
    <w:rsid w:val="00642856"/>
    <w:rsid w:val="00643857"/>
    <w:rsid w:val="00644AB9"/>
    <w:rsid w:val="006453D6"/>
    <w:rsid w:val="00645BDF"/>
    <w:rsid w:val="006518C2"/>
    <w:rsid w:val="006544B4"/>
    <w:rsid w:val="00655C0A"/>
    <w:rsid w:val="006600C7"/>
    <w:rsid w:val="006610FE"/>
    <w:rsid w:val="00661815"/>
    <w:rsid w:val="006665BB"/>
    <w:rsid w:val="00670447"/>
    <w:rsid w:val="00671877"/>
    <w:rsid w:val="00673571"/>
    <w:rsid w:val="00686445"/>
    <w:rsid w:val="00690751"/>
    <w:rsid w:val="00690A9D"/>
    <w:rsid w:val="00693310"/>
    <w:rsid w:val="0069369F"/>
    <w:rsid w:val="006936CC"/>
    <w:rsid w:val="006A2F50"/>
    <w:rsid w:val="006A4DF5"/>
    <w:rsid w:val="006A6390"/>
    <w:rsid w:val="006B394E"/>
    <w:rsid w:val="006C353E"/>
    <w:rsid w:val="006C3FA2"/>
    <w:rsid w:val="006C6130"/>
    <w:rsid w:val="006D3E89"/>
    <w:rsid w:val="006D58C4"/>
    <w:rsid w:val="006E3115"/>
    <w:rsid w:val="006F0E3F"/>
    <w:rsid w:val="006F195C"/>
    <w:rsid w:val="006F2316"/>
    <w:rsid w:val="006F43DF"/>
    <w:rsid w:val="006F6872"/>
    <w:rsid w:val="00710F9E"/>
    <w:rsid w:val="00711265"/>
    <w:rsid w:val="00714C49"/>
    <w:rsid w:val="007158EC"/>
    <w:rsid w:val="00715BD5"/>
    <w:rsid w:val="0071784D"/>
    <w:rsid w:val="00734359"/>
    <w:rsid w:val="00736B7E"/>
    <w:rsid w:val="007402A0"/>
    <w:rsid w:val="00746660"/>
    <w:rsid w:val="007555E7"/>
    <w:rsid w:val="00762B2D"/>
    <w:rsid w:val="00774FDF"/>
    <w:rsid w:val="007806E4"/>
    <w:rsid w:val="007808A7"/>
    <w:rsid w:val="007842A4"/>
    <w:rsid w:val="00784C60"/>
    <w:rsid w:val="007A074D"/>
    <w:rsid w:val="007A2EA9"/>
    <w:rsid w:val="007A2ED6"/>
    <w:rsid w:val="007A3F5A"/>
    <w:rsid w:val="007B1987"/>
    <w:rsid w:val="007B289A"/>
    <w:rsid w:val="007B4E53"/>
    <w:rsid w:val="007C2FFE"/>
    <w:rsid w:val="007C634F"/>
    <w:rsid w:val="007D733E"/>
    <w:rsid w:val="007E02D5"/>
    <w:rsid w:val="007E03B7"/>
    <w:rsid w:val="007F280A"/>
    <w:rsid w:val="007F34DF"/>
    <w:rsid w:val="007F37C5"/>
    <w:rsid w:val="00802B78"/>
    <w:rsid w:val="00806B51"/>
    <w:rsid w:val="00807423"/>
    <w:rsid w:val="00807EC3"/>
    <w:rsid w:val="00814B4D"/>
    <w:rsid w:val="00815B0E"/>
    <w:rsid w:val="00815BB1"/>
    <w:rsid w:val="00817217"/>
    <w:rsid w:val="00821962"/>
    <w:rsid w:val="00830185"/>
    <w:rsid w:val="00837DD4"/>
    <w:rsid w:val="00837E9F"/>
    <w:rsid w:val="00845339"/>
    <w:rsid w:val="0085588C"/>
    <w:rsid w:val="0086261C"/>
    <w:rsid w:val="008713D5"/>
    <w:rsid w:val="00872467"/>
    <w:rsid w:val="008755C9"/>
    <w:rsid w:val="00875EBC"/>
    <w:rsid w:val="0088178D"/>
    <w:rsid w:val="00883AB2"/>
    <w:rsid w:val="008A2A5E"/>
    <w:rsid w:val="008A7EB3"/>
    <w:rsid w:val="008B0C32"/>
    <w:rsid w:val="008B2DB7"/>
    <w:rsid w:val="008C01B6"/>
    <w:rsid w:val="008C39F0"/>
    <w:rsid w:val="008C5B09"/>
    <w:rsid w:val="008C701B"/>
    <w:rsid w:val="008D30A8"/>
    <w:rsid w:val="008D517F"/>
    <w:rsid w:val="008D7F4A"/>
    <w:rsid w:val="008E6A53"/>
    <w:rsid w:val="008F02C0"/>
    <w:rsid w:val="008F4760"/>
    <w:rsid w:val="008F51DD"/>
    <w:rsid w:val="00905369"/>
    <w:rsid w:val="009140C6"/>
    <w:rsid w:val="0091677F"/>
    <w:rsid w:val="00927A28"/>
    <w:rsid w:val="009309BC"/>
    <w:rsid w:val="00933A9E"/>
    <w:rsid w:val="00934666"/>
    <w:rsid w:val="00941F0C"/>
    <w:rsid w:val="009470A1"/>
    <w:rsid w:val="0095002C"/>
    <w:rsid w:val="00954BD2"/>
    <w:rsid w:val="00956E36"/>
    <w:rsid w:val="00961B28"/>
    <w:rsid w:val="00963C60"/>
    <w:rsid w:val="009742F2"/>
    <w:rsid w:val="00975D36"/>
    <w:rsid w:val="009763FF"/>
    <w:rsid w:val="0098122A"/>
    <w:rsid w:val="009840E3"/>
    <w:rsid w:val="0098438F"/>
    <w:rsid w:val="0098781E"/>
    <w:rsid w:val="0099156B"/>
    <w:rsid w:val="009951A5"/>
    <w:rsid w:val="009A0043"/>
    <w:rsid w:val="009A3782"/>
    <w:rsid w:val="009A53B2"/>
    <w:rsid w:val="009A612C"/>
    <w:rsid w:val="009A66E6"/>
    <w:rsid w:val="009A6B66"/>
    <w:rsid w:val="009C3D70"/>
    <w:rsid w:val="009C495B"/>
    <w:rsid w:val="009C49E7"/>
    <w:rsid w:val="009D2F00"/>
    <w:rsid w:val="009D452C"/>
    <w:rsid w:val="009E0E49"/>
    <w:rsid w:val="009E3FAD"/>
    <w:rsid w:val="009F2C07"/>
    <w:rsid w:val="009F46C7"/>
    <w:rsid w:val="009F5518"/>
    <w:rsid w:val="00A010B6"/>
    <w:rsid w:val="00A01304"/>
    <w:rsid w:val="00A01D1E"/>
    <w:rsid w:val="00A0519D"/>
    <w:rsid w:val="00A226DD"/>
    <w:rsid w:val="00A25D65"/>
    <w:rsid w:val="00A3062D"/>
    <w:rsid w:val="00A30E16"/>
    <w:rsid w:val="00A33EE2"/>
    <w:rsid w:val="00A46D8F"/>
    <w:rsid w:val="00A54A16"/>
    <w:rsid w:val="00A643AE"/>
    <w:rsid w:val="00A66FC0"/>
    <w:rsid w:val="00A70F72"/>
    <w:rsid w:val="00A73C3D"/>
    <w:rsid w:val="00A779C9"/>
    <w:rsid w:val="00A81CAB"/>
    <w:rsid w:val="00A81CC6"/>
    <w:rsid w:val="00A8282C"/>
    <w:rsid w:val="00A857BF"/>
    <w:rsid w:val="00A92E56"/>
    <w:rsid w:val="00A95E60"/>
    <w:rsid w:val="00AA0E82"/>
    <w:rsid w:val="00AA1395"/>
    <w:rsid w:val="00AA3214"/>
    <w:rsid w:val="00AB1E64"/>
    <w:rsid w:val="00AB3097"/>
    <w:rsid w:val="00AC13D1"/>
    <w:rsid w:val="00AC1887"/>
    <w:rsid w:val="00AC76B2"/>
    <w:rsid w:val="00AD20FD"/>
    <w:rsid w:val="00AD7E5A"/>
    <w:rsid w:val="00AE37C3"/>
    <w:rsid w:val="00AE41AF"/>
    <w:rsid w:val="00AE5A72"/>
    <w:rsid w:val="00AE6701"/>
    <w:rsid w:val="00B02A2B"/>
    <w:rsid w:val="00B039EF"/>
    <w:rsid w:val="00B05642"/>
    <w:rsid w:val="00B06FE9"/>
    <w:rsid w:val="00B14E56"/>
    <w:rsid w:val="00B15216"/>
    <w:rsid w:val="00B2154A"/>
    <w:rsid w:val="00B22B4B"/>
    <w:rsid w:val="00B24ACA"/>
    <w:rsid w:val="00B24F7C"/>
    <w:rsid w:val="00B273E2"/>
    <w:rsid w:val="00B3391D"/>
    <w:rsid w:val="00B36FE7"/>
    <w:rsid w:val="00B40465"/>
    <w:rsid w:val="00B51C05"/>
    <w:rsid w:val="00B568EA"/>
    <w:rsid w:val="00B57739"/>
    <w:rsid w:val="00B64AEB"/>
    <w:rsid w:val="00B6560E"/>
    <w:rsid w:val="00B6671A"/>
    <w:rsid w:val="00B66F57"/>
    <w:rsid w:val="00B820FE"/>
    <w:rsid w:val="00B829CA"/>
    <w:rsid w:val="00B832B9"/>
    <w:rsid w:val="00B84968"/>
    <w:rsid w:val="00B855C3"/>
    <w:rsid w:val="00B90AA1"/>
    <w:rsid w:val="00B97A69"/>
    <w:rsid w:val="00BA39BB"/>
    <w:rsid w:val="00BA40F5"/>
    <w:rsid w:val="00BA7AD3"/>
    <w:rsid w:val="00BB0B20"/>
    <w:rsid w:val="00BB2707"/>
    <w:rsid w:val="00BC7C3A"/>
    <w:rsid w:val="00BD1466"/>
    <w:rsid w:val="00BE0EA5"/>
    <w:rsid w:val="00BE664C"/>
    <w:rsid w:val="00BF2CDB"/>
    <w:rsid w:val="00BF2FFF"/>
    <w:rsid w:val="00C05CFC"/>
    <w:rsid w:val="00C11B7E"/>
    <w:rsid w:val="00C15E8C"/>
    <w:rsid w:val="00C2783F"/>
    <w:rsid w:val="00C2788C"/>
    <w:rsid w:val="00C30507"/>
    <w:rsid w:val="00C31819"/>
    <w:rsid w:val="00C3389F"/>
    <w:rsid w:val="00C33A7A"/>
    <w:rsid w:val="00C35AD7"/>
    <w:rsid w:val="00C35D5C"/>
    <w:rsid w:val="00C424A2"/>
    <w:rsid w:val="00C44655"/>
    <w:rsid w:val="00C46F37"/>
    <w:rsid w:val="00C5254B"/>
    <w:rsid w:val="00C6380F"/>
    <w:rsid w:val="00C6527F"/>
    <w:rsid w:val="00C81256"/>
    <w:rsid w:val="00C812D6"/>
    <w:rsid w:val="00C939AA"/>
    <w:rsid w:val="00C94F9E"/>
    <w:rsid w:val="00C95A4C"/>
    <w:rsid w:val="00C95AAF"/>
    <w:rsid w:val="00C9616C"/>
    <w:rsid w:val="00C972EB"/>
    <w:rsid w:val="00CA1090"/>
    <w:rsid w:val="00CA2AAA"/>
    <w:rsid w:val="00CA34F1"/>
    <w:rsid w:val="00CA39E4"/>
    <w:rsid w:val="00CB1F8A"/>
    <w:rsid w:val="00CB473F"/>
    <w:rsid w:val="00CB7E9F"/>
    <w:rsid w:val="00CC20DC"/>
    <w:rsid w:val="00CC493E"/>
    <w:rsid w:val="00CD6E57"/>
    <w:rsid w:val="00CE38DE"/>
    <w:rsid w:val="00CE4195"/>
    <w:rsid w:val="00CF451F"/>
    <w:rsid w:val="00CF7C8B"/>
    <w:rsid w:val="00D021D8"/>
    <w:rsid w:val="00D04C2B"/>
    <w:rsid w:val="00D07582"/>
    <w:rsid w:val="00D07ED8"/>
    <w:rsid w:val="00D1486B"/>
    <w:rsid w:val="00D157C3"/>
    <w:rsid w:val="00D161AD"/>
    <w:rsid w:val="00D16D07"/>
    <w:rsid w:val="00D173BA"/>
    <w:rsid w:val="00D21FA9"/>
    <w:rsid w:val="00D27E5D"/>
    <w:rsid w:val="00D30D12"/>
    <w:rsid w:val="00D34F5F"/>
    <w:rsid w:val="00D365F6"/>
    <w:rsid w:val="00D45F1D"/>
    <w:rsid w:val="00D51D42"/>
    <w:rsid w:val="00D533ED"/>
    <w:rsid w:val="00D54521"/>
    <w:rsid w:val="00D5729D"/>
    <w:rsid w:val="00D577C3"/>
    <w:rsid w:val="00D61A63"/>
    <w:rsid w:val="00D62A34"/>
    <w:rsid w:val="00D650C1"/>
    <w:rsid w:val="00D67E9E"/>
    <w:rsid w:val="00D75E2C"/>
    <w:rsid w:val="00D762FA"/>
    <w:rsid w:val="00D7672A"/>
    <w:rsid w:val="00D77907"/>
    <w:rsid w:val="00D81FC5"/>
    <w:rsid w:val="00D850B4"/>
    <w:rsid w:val="00D85CF5"/>
    <w:rsid w:val="00D85E56"/>
    <w:rsid w:val="00D87B56"/>
    <w:rsid w:val="00D91E6C"/>
    <w:rsid w:val="00D92CCE"/>
    <w:rsid w:val="00D95DD3"/>
    <w:rsid w:val="00D97567"/>
    <w:rsid w:val="00DA136F"/>
    <w:rsid w:val="00DA1B0F"/>
    <w:rsid w:val="00DA64EB"/>
    <w:rsid w:val="00DB137A"/>
    <w:rsid w:val="00DB4A39"/>
    <w:rsid w:val="00DD6970"/>
    <w:rsid w:val="00DE2519"/>
    <w:rsid w:val="00DE5C9B"/>
    <w:rsid w:val="00DE661F"/>
    <w:rsid w:val="00DF3EC9"/>
    <w:rsid w:val="00E00736"/>
    <w:rsid w:val="00E00C43"/>
    <w:rsid w:val="00E01F7E"/>
    <w:rsid w:val="00E02BB8"/>
    <w:rsid w:val="00E04A0D"/>
    <w:rsid w:val="00E07E5A"/>
    <w:rsid w:val="00E1541F"/>
    <w:rsid w:val="00E20400"/>
    <w:rsid w:val="00E207D7"/>
    <w:rsid w:val="00E2097D"/>
    <w:rsid w:val="00E20AC2"/>
    <w:rsid w:val="00E22665"/>
    <w:rsid w:val="00E22E7B"/>
    <w:rsid w:val="00E27993"/>
    <w:rsid w:val="00E439C6"/>
    <w:rsid w:val="00E44F19"/>
    <w:rsid w:val="00E47366"/>
    <w:rsid w:val="00E5436F"/>
    <w:rsid w:val="00E63A01"/>
    <w:rsid w:val="00E63F89"/>
    <w:rsid w:val="00E73A90"/>
    <w:rsid w:val="00E8048C"/>
    <w:rsid w:val="00E82C49"/>
    <w:rsid w:val="00E831E1"/>
    <w:rsid w:val="00E83DB0"/>
    <w:rsid w:val="00E83DF0"/>
    <w:rsid w:val="00E87A80"/>
    <w:rsid w:val="00E9138A"/>
    <w:rsid w:val="00E94EB7"/>
    <w:rsid w:val="00E96318"/>
    <w:rsid w:val="00EB1031"/>
    <w:rsid w:val="00EB3CBA"/>
    <w:rsid w:val="00EB5016"/>
    <w:rsid w:val="00EB6727"/>
    <w:rsid w:val="00EC2340"/>
    <w:rsid w:val="00EC2362"/>
    <w:rsid w:val="00ED0D8A"/>
    <w:rsid w:val="00ED1850"/>
    <w:rsid w:val="00ED32F0"/>
    <w:rsid w:val="00ED53E9"/>
    <w:rsid w:val="00ED5D06"/>
    <w:rsid w:val="00EE1D97"/>
    <w:rsid w:val="00EE4B42"/>
    <w:rsid w:val="00EE799D"/>
    <w:rsid w:val="00EF0707"/>
    <w:rsid w:val="00EF14C7"/>
    <w:rsid w:val="00EF28AD"/>
    <w:rsid w:val="00EF4112"/>
    <w:rsid w:val="00EF618E"/>
    <w:rsid w:val="00F11813"/>
    <w:rsid w:val="00F17D90"/>
    <w:rsid w:val="00F26C51"/>
    <w:rsid w:val="00F30FC2"/>
    <w:rsid w:val="00F329CE"/>
    <w:rsid w:val="00F349B7"/>
    <w:rsid w:val="00F57302"/>
    <w:rsid w:val="00F606AA"/>
    <w:rsid w:val="00F64FC1"/>
    <w:rsid w:val="00F7176D"/>
    <w:rsid w:val="00F744B4"/>
    <w:rsid w:val="00F77E3C"/>
    <w:rsid w:val="00F82D45"/>
    <w:rsid w:val="00F9562D"/>
    <w:rsid w:val="00FA30AA"/>
    <w:rsid w:val="00FB47F1"/>
    <w:rsid w:val="00FB4F26"/>
    <w:rsid w:val="00FD103B"/>
    <w:rsid w:val="00FE1466"/>
    <w:rsid w:val="00FE5555"/>
    <w:rsid w:val="00FF0A3F"/>
    <w:rsid w:val="00FF4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12E7"/>
  <w15:docId w15:val="{84002662-681F-4255-8595-FFCDEFC9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4AB"/>
  </w:style>
  <w:style w:type="paragraph" w:styleId="Piedepgina">
    <w:name w:val="footer"/>
    <w:basedOn w:val="Normal"/>
    <w:link w:val="PiedepginaCar"/>
    <w:uiPriority w:val="99"/>
    <w:unhideWhenUsed/>
    <w:rsid w:val="005074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4AB"/>
  </w:style>
  <w:style w:type="paragraph" w:styleId="Textodeglobo">
    <w:name w:val="Balloon Text"/>
    <w:basedOn w:val="Normal"/>
    <w:link w:val="TextodegloboCar"/>
    <w:uiPriority w:val="99"/>
    <w:semiHidden/>
    <w:unhideWhenUsed/>
    <w:rsid w:val="005074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4AB"/>
    <w:rPr>
      <w:rFonts w:ascii="Tahoma" w:hAnsi="Tahoma" w:cs="Tahoma"/>
      <w:sz w:val="16"/>
      <w:szCs w:val="16"/>
    </w:rPr>
  </w:style>
  <w:style w:type="paragraph" w:styleId="Prrafodelista">
    <w:name w:val="List Paragraph"/>
    <w:basedOn w:val="Normal"/>
    <w:uiPriority w:val="34"/>
    <w:qFormat/>
    <w:rsid w:val="008D7F4A"/>
    <w:pPr>
      <w:ind w:left="720"/>
      <w:contextualSpacing/>
    </w:pPr>
  </w:style>
  <w:style w:type="paragraph" w:styleId="Sinespaciado">
    <w:name w:val="No Spacing"/>
    <w:uiPriority w:val="1"/>
    <w:qFormat/>
    <w:rsid w:val="006D3E89"/>
    <w:pPr>
      <w:spacing w:after="0" w:line="240" w:lineRule="auto"/>
    </w:pPr>
    <w:rPr>
      <w:rFonts w:ascii="Calibri" w:eastAsia="Times New Roman" w:hAnsi="Calibri" w:cs="Times New Roman"/>
      <w:lang w:eastAsia="es-MX"/>
    </w:rPr>
  </w:style>
  <w:style w:type="paragraph" w:styleId="Textoindependiente3">
    <w:name w:val="Body Text 3"/>
    <w:basedOn w:val="Normal"/>
    <w:link w:val="Textoindependiente3Car"/>
    <w:unhideWhenUsed/>
    <w:rsid w:val="006D3E89"/>
    <w:pPr>
      <w:spacing w:after="0" w:line="240" w:lineRule="auto"/>
      <w:jc w:val="both"/>
    </w:pPr>
    <w:rPr>
      <w:rFonts w:ascii="Arial" w:eastAsia="Times New Roman" w:hAnsi="Arial" w:cs="Arial"/>
      <w:sz w:val="28"/>
      <w:szCs w:val="20"/>
      <w:lang w:val="es-ES" w:eastAsia="es-ES"/>
    </w:rPr>
  </w:style>
  <w:style w:type="character" w:customStyle="1" w:styleId="Textoindependiente3Car">
    <w:name w:val="Texto independiente 3 Car"/>
    <w:basedOn w:val="Fuentedeprrafopredeter"/>
    <w:link w:val="Textoindependiente3"/>
    <w:rsid w:val="006D3E89"/>
    <w:rPr>
      <w:rFonts w:ascii="Arial" w:eastAsia="Times New Roman" w:hAnsi="Arial" w:cs="Arial"/>
      <w:sz w:val="28"/>
      <w:szCs w:val="20"/>
      <w:lang w:val="es-ES" w:eastAsia="es-ES"/>
    </w:rPr>
  </w:style>
  <w:style w:type="paragraph" w:styleId="Textoindependiente2">
    <w:name w:val="Body Text 2"/>
    <w:basedOn w:val="Normal"/>
    <w:link w:val="Textoindependiente2Car"/>
    <w:uiPriority w:val="99"/>
    <w:semiHidden/>
    <w:unhideWhenUsed/>
    <w:rsid w:val="00B6671A"/>
    <w:pPr>
      <w:spacing w:after="120" w:line="480" w:lineRule="auto"/>
    </w:pPr>
  </w:style>
  <w:style w:type="character" w:customStyle="1" w:styleId="Textoindependiente2Car">
    <w:name w:val="Texto independiente 2 Car"/>
    <w:basedOn w:val="Fuentedeprrafopredeter"/>
    <w:link w:val="Textoindependiente2"/>
    <w:uiPriority w:val="99"/>
    <w:semiHidden/>
    <w:rsid w:val="00B6671A"/>
  </w:style>
  <w:style w:type="character" w:styleId="Hipervnculo">
    <w:name w:val="Hyperlink"/>
    <w:basedOn w:val="Fuentedeprrafopredeter"/>
    <w:uiPriority w:val="99"/>
    <w:semiHidden/>
    <w:unhideWhenUsed/>
    <w:rsid w:val="007E02D5"/>
    <w:rPr>
      <w:color w:val="0563C1"/>
      <w:u w:val="single"/>
    </w:rPr>
  </w:style>
  <w:style w:type="character" w:styleId="Hipervnculovisitado">
    <w:name w:val="FollowedHyperlink"/>
    <w:basedOn w:val="Fuentedeprrafopredeter"/>
    <w:uiPriority w:val="99"/>
    <w:semiHidden/>
    <w:unhideWhenUsed/>
    <w:rsid w:val="007E02D5"/>
    <w:rPr>
      <w:color w:val="954F72"/>
      <w:u w:val="single"/>
    </w:rPr>
  </w:style>
  <w:style w:type="paragraph" w:customStyle="1" w:styleId="msonormal0">
    <w:name w:val="msonormal"/>
    <w:basedOn w:val="Normal"/>
    <w:rsid w:val="007E02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67">
    <w:name w:val="xl67"/>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68">
    <w:name w:val="xl68"/>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es-MX"/>
    </w:rPr>
  </w:style>
  <w:style w:type="paragraph" w:customStyle="1" w:styleId="xl70">
    <w:name w:val="xl70"/>
    <w:basedOn w:val="Normal"/>
    <w:rsid w:val="007E02D5"/>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72">
    <w:name w:val="xl72"/>
    <w:basedOn w:val="Normal"/>
    <w:rsid w:val="007E02D5"/>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3">
    <w:name w:val="xl73"/>
    <w:basedOn w:val="Normal"/>
    <w:rsid w:val="007E02D5"/>
    <w:pPr>
      <w:spacing w:before="100" w:beforeAutospacing="1" w:after="100" w:afterAutospacing="1" w:line="240" w:lineRule="auto"/>
    </w:pPr>
    <w:rPr>
      <w:rFonts w:ascii="Arial" w:eastAsia="Times New Roman" w:hAnsi="Arial" w:cs="Arial"/>
      <w:sz w:val="24"/>
      <w:szCs w:val="24"/>
      <w:lang w:eastAsia="es-MX"/>
    </w:rPr>
  </w:style>
  <w:style w:type="paragraph" w:customStyle="1" w:styleId="xl74">
    <w:name w:val="xl74"/>
    <w:basedOn w:val="Normal"/>
    <w:rsid w:val="007E02D5"/>
    <w:pPr>
      <w:pBdr>
        <w:bottom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7E02D5"/>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6">
    <w:name w:val="xl76"/>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MX"/>
    </w:rPr>
  </w:style>
  <w:style w:type="paragraph" w:customStyle="1" w:styleId="xl77">
    <w:name w:val="xl77"/>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8">
    <w:name w:val="xl78"/>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8"/>
      <w:szCs w:val="18"/>
      <w:lang w:eastAsia="es-MX"/>
    </w:rPr>
  </w:style>
  <w:style w:type="paragraph" w:customStyle="1" w:styleId="xl79">
    <w:name w:val="xl79"/>
    <w:basedOn w:val="Normal"/>
    <w:rsid w:val="007E02D5"/>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80">
    <w:name w:val="xl80"/>
    <w:basedOn w:val="Normal"/>
    <w:rsid w:val="007E02D5"/>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82">
    <w:name w:val="xl82"/>
    <w:basedOn w:val="Normal"/>
    <w:rsid w:val="007E02D5"/>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83">
    <w:name w:val="xl83"/>
    <w:basedOn w:val="Normal"/>
    <w:rsid w:val="007E02D5"/>
    <w:pP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84">
    <w:name w:val="xl84"/>
    <w:basedOn w:val="Normal"/>
    <w:rsid w:val="007E02D5"/>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85">
    <w:name w:val="xl85"/>
    <w:basedOn w:val="Normal"/>
    <w:rsid w:val="007E02D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7E02D5"/>
    <w:pP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87">
    <w:name w:val="xl87"/>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es-MX"/>
    </w:rPr>
  </w:style>
  <w:style w:type="paragraph" w:customStyle="1" w:styleId="xl88">
    <w:name w:val="xl88"/>
    <w:basedOn w:val="Normal"/>
    <w:rsid w:val="007E02D5"/>
    <w:pPr>
      <w:pBdr>
        <w:left w:val="single" w:sz="4" w:space="0" w:color="C0C0C0"/>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7E02D5"/>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1">
    <w:name w:val="xl91"/>
    <w:basedOn w:val="Normal"/>
    <w:rsid w:val="007E02D5"/>
    <w:pPr>
      <w:spacing w:before="100" w:beforeAutospacing="1" w:after="100" w:afterAutospacing="1" w:line="240" w:lineRule="auto"/>
    </w:pPr>
    <w:rPr>
      <w:rFonts w:ascii="Arial" w:eastAsia="Times New Roman" w:hAnsi="Arial" w:cs="Arial"/>
      <w:sz w:val="18"/>
      <w:szCs w:val="18"/>
      <w:lang w:eastAsia="es-MX"/>
    </w:rPr>
  </w:style>
  <w:style w:type="paragraph" w:customStyle="1" w:styleId="xl92">
    <w:name w:val="xl92"/>
    <w:basedOn w:val="Normal"/>
    <w:rsid w:val="007E02D5"/>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93">
    <w:name w:val="xl93"/>
    <w:basedOn w:val="Normal"/>
    <w:rsid w:val="007E02D5"/>
    <w:pPr>
      <w:spacing w:before="100" w:beforeAutospacing="1" w:after="100" w:afterAutospacing="1" w:line="240" w:lineRule="auto"/>
    </w:pPr>
    <w:rPr>
      <w:rFonts w:ascii="Arial" w:eastAsia="Times New Roman" w:hAnsi="Arial" w:cs="Arial"/>
      <w:sz w:val="16"/>
      <w:szCs w:val="16"/>
      <w:lang w:eastAsia="es-MX"/>
    </w:rPr>
  </w:style>
  <w:style w:type="paragraph" w:customStyle="1" w:styleId="xl94">
    <w:name w:val="xl94"/>
    <w:basedOn w:val="Normal"/>
    <w:rsid w:val="007E02D5"/>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95">
    <w:name w:val="xl95"/>
    <w:basedOn w:val="Normal"/>
    <w:rsid w:val="007E02D5"/>
    <w:pPr>
      <w:spacing w:before="100" w:beforeAutospacing="1" w:after="100" w:afterAutospacing="1" w:line="240" w:lineRule="auto"/>
    </w:pPr>
    <w:rPr>
      <w:rFonts w:ascii="Arial" w:eastAsia="Times New Roman" w:hAnsi="Arial" w:cs="Arial"/>
      <w:sz w:val="16"/>
      <w:szCs w:val="16"/>
      <w:lang w:eastAsia="es-MX"/>
    </w:rPr>
  </w:style>
  <w:style w:type="paragraph" w:customStyle="1" w:styleId="xl96">
    <w:name w:val="xl96"/>
    <w:basedOn w:val="Normal"/>
    <w:rsid w:val="007E02D5"/>
    <w:pP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7E02D5"/>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98">
    <w:name w:val="xl98"/>
    <w:basedOn w:val="Normal"/>
    <w:rsid w:val="007E02D5"/>
    <w:pPr>
      <w:spacing w:before="100" w:beforeAutospacing="1" w:after="100" w:afterAutospacing="1" w:line="240" w:lineRule="auto"/>
    </w:pPr>
    <w:rPr>
      <w:rFonts w:ascii="Calibri" w:eastAsia="Times New Roman" w:hAnsi="Calibri" w:cs="Calibri"/>
      <w:color w:val="000000"/>
      <w:sz w:val="24"/>
      <w:szCs w:val="24"/>
      <w:lang w:eastAsia="es-MX"/>
    </w:rPr>
  </w:style>
  <w:style w:type="paragraph" w:customStyle="1" w:styleId="xl99">
    <w:name w:val="xl99"/>
    <w:basedOn w:val="Normal"/>
    <w:rsid w:val="007E02D5"/>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00">
    <w:name w:val="xl100"/>
    <w:basedOn w:val="Normal"/>
    <w:rsid w:val="007E02D5"/>
    <w:pP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7E02D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7E02D5"/>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3">
    <w:name w:val="xl103"/>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8"/>
      <w:szCs w:val="18"/>
      <w:lang w:eastAsia="es-MX"/>
    </w:rPr>
  </w:style>
  <w:style w:type="paragraph" w:customStyle="1" w:styleId="xl104">
    <w:name w:val="xl104"/>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05">
    <w:name w:val="xl105"/>
    <w:basedOn w:val="Normal"/>
    <w:rsid w:val="007E02D5"/>
    <w:pPr>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106">
    <w:name w:val="xl106"/>
    <w:basedOn w:val="Normal"/>
    <w:rsid w:val="007E02D5"/>
    <w:pPr>
      <w:spacing w:before="100" w:beforeAutospacing="1" w:after="100" w:afterAutospacing="1" w:line="240" w:lineRule="auto"/>
      <w:jc w:val="right"/>
      <w:textAlignment w:val="top"/>
    </w:pPr>
    <w:rPr>
      <w:rFonts w:ascii="Arial" w:eastAsia="Times New Roman" w:hAnsi="Arial" w:cs="Arial"/>
      <w:color w:val="000000"/>
      <w:sz w:val="24"/>
      <w:szCs w:val="24"/>
      <w:lang w:eastAsia="es-MX"/>
    </w:rPr>
  </w:style>
  <w:style w:type="paragraph" w:customStyle="1" w:styleId="xl107">
    <w:name w:val="xl107"/>
    <w:basedOn w:val="Normal"/>
    <w:rsid w:val="007E02D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109">
    <w:name w:val="xl109"/>
    <w:basedOn w:val="Normal"/>
    <w:rsid w:val="007E02D5"/>
    <w:pPr>
      <w:spacing w:before="100" w:beforeAutospacing="1" w:after="100" w:afterAutospacing="1" w:line="240" w:lineRule="auto"/>
    </w:pPr>
    <w:rPr>
      <w:rFonts w:ascii="Calibri" w:eastAsia="Times New Roman" w:hAnsi="Calibri" w:cs="Calibri"/>
      <w:color w:val="000000"/>
      <w:sz w:val="18"/>
      <w:szCs w:val="18"/>
      <w:lang w:eastAsia="es-MX"/>
    </w:rPr>
  </w:style>
  <w:style w:type="paragraph" w:customStyle="1" w:styleId="xl111">
    <w:name w:val="xl111"/>
    <w:basedOn w:val="Normal"/>
    <w:rsid w:val="007E02D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12">
    <w:name w:val="xl112"/>
    <w:basedOn w:val="Normal"/>
    <w:rsid w:val="007E02D5"/>
    <w:pPr>
      <w:spacing w:before="100" w:beforeAutospacing="1" w:after="100" w:afterAutospacing="1" w:line="240" w:lineRule="auto"/>
    </w:pPr>
    <w:rPr>
      <w:rFonts w:ascii="Arial" w:eastAsia="Times New Roman" w:hAnsi="Arial" w:cs="Arial"/>
      <w:sz w:val="18"/>
      <w:szCs w:val="18"/>
      <w:lang w:eastAsia="es-MX"/>
    </w:rPr>
  </w:style>
  <w:style w:type="paragraph" w:customStyle="1" w:styleId="xl113">
    <w:name w:val="xl113"/>
    <w:basedOn w:val="Normal"/>
    <w:rsid w:val="007E02D5"/>
    <w:pPr>
      <w:spacing w:before="100" w:beforeAutospacing="1" w:after="100" w:afterAutospacing="1" w:line="240" w:lineRule="auto"/>
    </w:pPr>
    <w:rPr>
      <w:rFonts w:ascii="Calibri" w:eastAsia="Times New Roman" w:hAnsi="Calibri" w:cs="Calibri"/>
      <w:b/>
      <w:bCs/>
      <w:color w:val="000000"/>
      <w:sz w:val="24"/>
      <w:szCs w:val="24"/>
      <w:lang w:eastAsia="es-MX"/>
    </w:rPr>
  </w:style>
  <w:style w:type="paragraph" w:customStyle="1" w:styleId="xl114">
    <w:name w:val="xl114"/>
    <w:basedOn w:val="Normal"/>
    <w:rsid w:val="007E02D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115">
    <w:name w:val="xl115"/>
    <w:basedOn w:val="Normal"/>
    <w:rsid w:val="007E02D5"/>
    <w:pPr>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116">
    <w:name w:val="xl116"/>
    <w:basedOn w:val="Normal"/>
    <w:rsid w:val="007E02D5"/>
    <w:pPr>
      <w:spacing w:before="100" w:beforeAutospacing="1" w:after="100" w:afterAutospacing="1" w:line="240" w:lineRule="auto"/>
      <w:textAlignment w:val="top"/>
    </w:pPr>
    <w:rPr>
      <w:rFonts w:ascii="Arial" w:eastAsia="Times New Roman" w:hAnsi="Arial" w:cs="Arial"/>
      <w:b/>
      <w:bCs/>
      <w:color w:val="000000"/>
      <w:sz w:val="18"/>
      <w:szCs w:val="18"/>
      <w:lang w:eastAsia="es-MX"/>
    </w:rPr>
  </w:style>
  <w:style w:type="paragraph" w:customStyle="1" w:styleId="xl117">
    <w:name w:val="xl117"/>
    <w:basedOn w:val="Normal"/>
    <w:rsid w:val="007E02D5"/>
    <w:pP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MX"/>
    </w:rPr>
  </w:style>
  <w:style w:type="paragraph" w:customStyle="1" w:styleId="xl118">
    <w:name w:val="xl118"/>
    <w:basedOn w:val="Normal"/>
    <w:rsid w:val="007E02D5"/>
    <w:pPr>
      <w:shd w:val="clear" w:color="000000" w:fill="FFFF00"/>
      <w:spacing w:before="100" w:beforeAutospacing="1" w:after="100" w:afterAutospacing="1" w:line="240" w:lineRule="auto"/>
    </w:pPr>
    <w:rPr>
      <w:rFonts w:ascii="Arial" w:eastAsia="Times New Roman" w:hAnsi="Arial" w:cs="Arial"/>
      <w:sz w:val="24"/>
      <w:szCs w:val="24"/>
      <w:lang w:eastAsia="es-MX"/>
    </w:rPr>
  </w:style>
  <w:style w:type="paragraph" w:customStyle="1" w:styleId="xl119">
    <w:name w:val="xl119"/>
    <w:basedOn w:val="Normal"/>
    <w:rsid w:val="007E02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0">
    <w:name w:val="xl120"/>
    <w:basedOn w:val="Normal"/>
    <w:rsid w:val="007E02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1">
    <w:name w:val="xl121"/>
    <w:basedOn w:val="Normal"/>
    <w:rsid w:val="007E02D5"/>
    <w:pPr>
      <w:shd w:val="clear" w:color="000000" w:fill="ED7D31"/>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22">
    <w:name w:val="xl122"/>
    <w:basedOn w:val="Normal"/>
    <w:rsid w:val="007E02D5"/>
    <w:pPr>
      <w:spacing w:before="100" w:beforeAutospacing="1" w:after="100" w:afterAutospacing="1" w:line="240" w:lineRule="auto"/>
    </w:pPr>
    <w:rPr>
      <w:rFonts w:ascii="Calibri" w:eastAsia="Times New Roman" w:hAnsi="Calibri" w:cs="Calibri"/>
      <w:sz w:val="24"/>
      <w:szCs w:val="24"/>
      <w:lang w:eastAsia="es-MX"/>
    </w:rPr>
  </w:style>
  <w:style w:type="paragraph" w:customStyle="1" w:styleId="xl123">
    <w:name w:val="xl123"/>
    <w:basedOn w:val="Normal"/>
    <w:rsid w:val="007E02D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textAlignment w:val="top"/>
    </w:pPr>
    <w:rPr>
      <w:rFonts w:ascii="Calibri" w:eastAsia="Times New Roman" w:hAnsi="Calibri" w:cs="Calibri"/>
      <w:color w:val="000000"/>
      <w:sz w:val="24"/>
      <w:szCs w:val="24"/>
      <w:lang w:eastAsia="es-MX"/>
    </w:rPr>
  </w:style>
  <w:style w:type="paragraph" w:customStyle="1" w:styleId="xl124">
    <w:name w:val="xl124"/>
    <w:basedOn w:val="Normal"/>
    <w:rsid w:val="007E02D5"/>
    <w:pP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7E02D5"/>
    <w:pPr>
      <w:spacing w:before="100" w:beforeAutospacing="1" w:after="100" w:afterAutospacing="1" w:line="240" w:lineRule="auto"/>
    </w:pPr>
    <w:rPr>
      <w:rFonts w:ascii="Arial" w:eastAsia="Times New Roman" w:hAnsi="Arial" w:cs="Arial"/>
      <w:sz w:val="24"/>
      <w:szCs w:val="24"/>
      <w:lang w:eastAsia="es-MX"/>
    </w:rPr>
  </w:style>
  <w:style w:type="table" w:styleId="Tablaconcuadrcula">
    <w:name w:val="Table Grid"/>
    <w:basedOn w:val="Tablanormal"/>
    <w:uiPriority w:val="59"/>
    <w:rsid w:val="007E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515">
      <w:bodyDiv w:val="1"/>
      <w:marLeft w:val="0"/>
      <w:marRight w:val="0"/>
      <w:marTop w:val="0"/>
      <w:marBottom w:val="0"/>
      <w:divBdr>
        <w:top w:val="none" w:sz="0" w:space="0" w:color="auto"/>
        <w:left w:val="none" w:sz="0" w:space="0" w:color="auto"/>
        <w:bottom w:val="none" w:sz="0" w:space="0" w:color="auto"/>
        <w:right w:val="none" w:sz="0" w:space="0" w:color="auto"/>
      </w:divBdr>
    </w:div>
    <w:div w:id="44377425">
      <w:bodyDiv w:val="1"/>
      <w:marLeft w:val="0"/>
      <w:marRight w:val="0"/>
      <w:marTop w:val="0"/>
      <w:marBottom w:val="0"/>
      <w:divBdr>
        <w:top w:val="none" w:sz="0" w:space="0" w:color="auto"/>
        <w:left w:val="none" w:sz="0" w:space="0" w:color="auto"/>
        <w:bottom w:val="none" w:sz="0" w:space="0" w:color="auto"/>
        <w:right w:val="none" w:sz="0" w:space="0" w:color="auto"/>
      </w:divBdr>
    </w:div>
    <w:div w:id="78794452">
      <w:bodyDiv w:val="1"/>
      <w:marLeft w:val="0"/>
      <w:marRight w:val="0"/>
      <w:marTop w:val="0"/>
      <w:marBottom w:val="0"/>
      <w:divBdr>
        <w:top w:val="none" w:sz="0" w:space="0" w:color="auto"/>
        <w:left w:val="none" w:sz="0" w:space="0" w:color="auto"/>
        <w:bottom w:val="none" w:sz="0" w:space="0" w:color="auto"/>
        <w:right w:val="none" w:sz="0" w:space="0" w:color="auto"/>
      </w:divBdr>
    </w:div>
    <w:div w:id="89277713">
      <w:bodyDiv w:val="1"/>
      <w:marLeft w:val="0"/>
      <w:marRight w:val="0"/>
      <w:marTop w:val="0"/>
      <w:marBottom w:val="0"/>
      <w:divBdr>
        <w:top w:val="none" w:sz="0" w:space="0" w:color="auto"/>
        <w:left w:val="none" w:sz="0" w:space="0" w:color="auto"/>
        <w:bottom w:val="none" w:sz="0" w:space="0" w:color="auto"/>
        <w:right w:val="none" w:sz="0" w:space="0" w:color="auto"/>
      </w:divBdr>
    </w:div>
    <w:div w:id="94207531">
      <w:bodyDiv w:val="1"/>
      <w:marLeft w:val="0"/>
      <w:marRight w:val="0"/>
      <w:marTop w:val="0"/>
      <w:marBottom w:val="0"/>
      <w:divBdr>
        <w:top w:val="none" w:sz="0" w:space="0" w:color="auto"/>
        <w:left w:val="none" w:sz="0" w:space="0" w:color="auto"/>
        <w:bottom w:val="none" w:sz="0" w:space="0" w:color="auto"/>
        <w:right w:val="none" w:sz="0" w:space="0" w:color="auto"/>
      </w:divBdr>
    </w:div>
    <w:div w:id="141780568">
      <w:bodyDiv w:val="1"/>
      <w:marLeft w:val="0"/>
      <w:marRight w:val="0"/>
      <w:marTop w:val="0"/>
      <w:marBottom w:val="0"/>
      <w:divBdr>
        <w:top w:val="none" w:sz="0" w:space="0" w:color="auto"/>
        <w:left w:val="none" w:sz="0" w:space="0" w:color="auto"/>
        <w:bottom w:val="none" w:sz="0" w:space="0" w:color="auto"/>
        <w:right w:val="none" w:sz="0" w:space="0" w:color="auto"/>
      </w:divBdr>
    </w:div>
    <w:div w:id="156196611">
      <w:bodyDiv w:val="1"/>
      <w:marLeft w:val="0"/>
      <w:marRight w:val="0"/>
      <w:marTop w:val="0"/>
      <w:marBottom w:val="0"/>
      <w:divBdr>
        <w:top w:val="none" w:sz="0" w:space="0" w:color="auto"/>
        <w:left w:val="none" w:sz="0" w:space="0" w:color="auto"/>
        <w:bottom w:val="none" w:sz="0" w:space="0" w:color="auto"/>
        <w:right w:val="none" w:sz="0" w:space="0" w:color="auto"/>
      </w:divBdr>
    </w:div>
    <w:div w:id="224803348">
      <w:bodyDiv w:val="1"/>
      <w:marLeft w:val="0"/>
      <w:marRight w:val="0"/>
      <w:marTop w:val="0"/>
      <w:marBottom w:val="0"/>
      <w:divBdr>
        <w:top w:val="none" w:sz="0" w:space="0" w:color="auto"/>
        <w:left w:val="none" w:sz="0" w:space="0" w:color="auto"/>
        <w:bottom w:val="none" w:sz="0" w:space="0" w:color="auto"/>
        <w:right w:val="none" w:sz="0" w:space="0" w:color="auto"/>
      </w:divBdr>
    </w:div>
    <w:div w:id="243878436">
      <w:bodyDiv w:val="1"/>
      <w:marLeft w:val="0"/>
      <w:marRight w:val="0"/>
      <w:marTop w:val="0"/>
      <w:marBottom w:val="0"/>
      <w:divBdr>
        <w:top w:val="none" w:sz="0" w:space="0" w:color="auto"/>
        <w:left w:val="none" w:sz="0" w:space="0" w:color="auto"/>
        <w:bottom w:val="none" w:sz="0" w:space="0" w:color="auto"/>
        <w:right w:val="none" w:sz="0" w:space="0" w:color="auto"/>
      </w:divBdr>
    </w:div>
    <w:div w:id="256334910">
      <w:bodyDiv w:val="1"/>
      <w:marLeft w:val="0"/>
      <w:marRight w:val="0"/>
      <w:marTop w:val="0"/>
      <w:marBottom w:val="0"/>
      <w:divBdr>
        <w:top w:val="none" w:sz="0" w:space="0" w:color="auto"/>
        <w:left w:val="none" w:sz="0" w:space="0" w:color="auto"/>
        <w:bottom w:val="none" w:sz="0" w:space="0" w:color="auto"/>
        <w:right w:val="none" w:sz="0" w:space="0" w:color="auto"/>
      </w:divBdr>
    </w:div>
    <w:div w:id="322902750">
      <w:bodyDiv w:val="1"/>
      <w:marLeft w:val="0"/>
      <w:marRight w:val="0"/>
      <w:marTop w:val="0"/>
      <w:marBottom w:val="0"/>
      <w:divBdr>
        <w:top w:val="none" w:sz="0" w:space="0" w:color="auto"/>
        <w:left w:val="none" w:sz="0" w:space="0" w:color="auto"/>
        <w:bottom w:val="none" w:sz="0" w:space="0" w:color="auto"/>
        <w:right w:val="none" w:sz="0" w:space="0" w:color="auto"/>
      </w:divBdr>
    </w:div>
    <w:div w:id="324668516">
      <w:bodyDiv w:val="1"/>
      <w:marLeft w:val="0"/>
      <w:marRight w:val="0"/>
      <w:marTop w:val="0"/>
      <w:marBottom w:val="0"/>
      <w:divBdr>
        <w:top w:val="none" w:sz="0" w:space="0" w:color="auto"/>
        <w:left w:val="none" w:sz="0" w:space="0" w:color="auto"/>
        <w:bottom w:val="none" w:sz="0" w:space="0" w:color="auto"/>
        <w:right w:val="none" w:sz="0" w:space="0" w:color="auto"/>
      </w:divBdr>
    </w:div>
    <w:div w:id="331110576">
      <w:bodyDiv w:val="1"/>
      <w:marLeft w:val="0"/>
      <w:marRight w:val="0"/>
      <w:marTop w:val="0"/>
      <w:marBottom w:val="0"/>
      <w:divBdr>
        <w:top w:val="none" w:sz="0" w:space="0" w:color="auto"/>
        <w:left w:val="none" w:sz="0" w:space="0" w:color="auto"/>
        <w:bottom w:val="none" w:sz="0" w:space="0" w:color="auto"/>
        <w:right w:val="none" w:sz="0" w:space="0" w:color="auto"/>
      </w:divBdr>
    </w:div>
    <w:div w:id="331615237">
      <w:bodyDiv w:val="1"/>
      <w:marLeft w:val="0"/>
      <w:marRight w:val="0"/>
      <w:marTop w:val="0"/>
      <w:marBottom w:val="0"/>
      <w:divBdr>
        <w:top w:val="none" w:sz="0" w:space="0" w:color="auto"/>
        <w:left w:val="none" w:sz="0" w:space="0" w:color="auto"/>
        <w:bottom w:val="none" w:sz="0" w:space="0" w:color="auto"/>
        <w:right w:val="none" w:sz="0" w:space="0" w:color="auto"/>
      </w:divBdr>
    </w:div>
    <w:div w:id="356544114">
      <w:bodyDiv w:val="1"/>
      <w:marLeft w:val="0"/>
      <w:marRight w:val="0"/>
      <w:marTop w:val="0"/>
      <w:marBottom w:val="0"/>
      <w:divBdr>
        <w:top w:val="none" w:sz="0" w:space="0" w:color="auto"/>
        <w:left w:val="none" w:sz="0" w:space="0" w:color="auto"/>
        <w:bottom w:val="none" w:sz="0" w:space="0" w:color="auto"/>
        <w:right w:val="none" w:sz="0" w:space="0" w:color="auto"/>
      </w:divBdr>
    </w:div>
    <w:div w:id="432239913">
      <w:bodyDiv w:val="1"/>
      <w:marLeft w:val="0"/>
      <w:marRight w:val="0"/>
      <w:marTop w:val="0"/>
      <w:marBottom w:val="0"/>
      <w:divBdr>
        <w:top w:val="none" w:sz="0" w:space="0" w:color="auto"/>
        <w:left w:val="none" w:sz="0" w:space="0" w:color="auto"/>
        <w:bottom w:val="none" w:sz="0" w:space="0" w:color="auto"/>
        <w:right w:val="none" w:sz="0" w:space="0" w:color="auto"/>
      </w:divBdr>
    </w:div>
    <w:div w:id="482360190">
      <w:bodyDiv w:val="1"/>
      <w:marLeft w:val="0"/>
      <w:marRight w:val="0"/>
      <w:marTop w:val="0"/>
      <w:marBottom w:val="0"/>
      <w:divBdr>
        <w:top w:val="none" w:sz="0" w:space="0" w:color="auto"/>
        <w:left w:val="none" w:sz="0" w:space="0" w:color="auto"/>
        <w:bottom w:val="none" w:sz="0" w:space="0" w:color="auto"/>
        <w:right w:val="none" w:sz="0" w:space="0" w:color="auto"/>
      </w:divBdr>
    </w:div>
    <w:div w:id="495804955">
      <w:bodyDiv w:val="1"/>
      <w:marLeft w:val="0"/>
      <w:marRight w:val="0"/>
      <w:marTop w:val="0"/>
      <w:marBottom w:val="0"/>
      <w:divBdr>
        <w:top w:val="none" w:sz="0" w:space="0" w:color="auto"/>
        <w:left w:val="none" w:sz="0" w:space="0" w:color="auto"/>
        <w:bottom w:val="none" w:sz="0" w:space="0" w:color="auto"/>
        <w:right w:val="none" w:sz="0" w:space="0" w:color="auto"/>
      </w:divBdr>
    </w:div>
    <w:div w:id="579412665">
      <w:bodyDiv w:val="1"/>
      <w:marLeft w:val="0"/>
      <w:marRight w:val="0"/>
      <w:marTop w:val="0"/>
      <w:marBottom w:val="0"/>
      <w:divBdr>
        <w:top w:val="none" w:sz="0" w:space="0" w:color="auto"/>
        <w:left w:val="none" w:sz="0" w:space="0" w:color="auto"/>
        <w:bottom w:val="none" w:sz="0" w:space="0" w:color="auto"/>
        <w:right w:val="none" w:sz="0" w:space="0" w:color="auto"/>
      </w:divBdr>
    </w:div>
    <w:div w:id="637490643">
      <w:bodyDiv w:val="1"/>
      <w:marLeft w:val="0"/>
      <w:marRight w:val="0"/>
      <w:marTop w:val="0"/>
      <w:marBottom w:val="0"/>
      <w:divBdr>
        <w:top w:val="none" w:sz="0" w:space="0" w:color="auto"/>
        <w:left w:val="none" w:sz="0" w:space="0" w:color="auto"/>
        <w:bottom w:val="none" w:sz="0" w:space="0" w:color="auto"/>
        <w:right w:val="none" w:sz="0" w:space="0" w:color="auto"/>
      </w:divBdr>
    </w:div>
    <w:div w:id="707293461">
      <w:bodyDiv w:val="1"/>
      <w:marLeft w:val="0"/>
      <w:marRight w:val="0"/>
      <w:marTop w:val="0"/>
      <w:marBottom w:val="0"/>
      <w:divBdr>
        <w:top w:val="none" w:sz="0" w:space="0" w:color="auto"/>
        <w:left w:val="none" w:sz="0" w:space="0" w:color="auto"/>
        <w:bottom w:val="none" w:sz="0" w:space="0" w:color="auto"/>
        <w:right w:val="none" w:sz="0" w:space="0" w:color="auto"/>
      </w:divBdr>
    </w:div>
    <w:div w:id="732315760">
      <w:bodyDiv w:val="1"/>
      <w:marLeft w:val="0"/>
      <w:marRight w:val="0"/>
      <w:marTop w:val="0"/>
      <w:marBottom w:val="0"/>
      <w:divBdr>
        <w:top w:val="none" w:sz="0" w:space="0" w:color="auto"/>
        <w:left w:val="none" w:sz="0" w:space="0" w:color="auto"/>
        <w:bottom w:val="none" w:sz="0" w:space="0" w:color="auto"/>
        <w:right w:val="none" w:sz="0" w:space="0" w:color="auto"/>
      </w:divBdr>
    </w:div>
    <w:div w:id="824932460">
      <w:bodyDiv w:val="1"/>
      <w:marLeft w:val="0"/>
      <w:marRight w:val="0"/>
      <w:marTop w:val="0"/>
      <w:marBottom w:val="0"/>
      <w:divBdr>
        <w:top w:val="none" w:sz="0" w:space="0" w:color="auto"/>
        <w:left w:val="none" w:sz="0" w:space="0" w:color="auto"/>
        <w:bottom w:val="none" w:sz="0" w:space="0" w:color="auto"/>
        <w:right w:val="none" w:sz="0" w:space="0" w:color="auto"/>
      </w:divBdr>
    </w:div>
    <w:div w:id="831065782">
      <w:bodyDiv w:val="1"/>
      <w:marLeft w:val="0"/>
      <w:marRight w:val="0"/>
      <w:marTop w:val="0"/>
      <w:marBottom w:val="0"/>
      <w:divBdr>
        <w:top w:val="none" w:sz="0" w:space="0" w:color="auto"/>
        <w:left w:val="none" w:sz="0" w:space="0" w:color="auto"/>
        <w:bottom w:val="none" w:sz="0" w:space="0" w:color="auto"/>
        <w:right w:val="none" w:sz="0" w:space="0" w:color="auto"/>
      </w:divBdr>
    </w:div>
    <w:div w:id="842545334">
      <w:bodyDiv w:val="1"/>
      <w:marLeft w:val="0"/>
      <w:marRight w:val="0"/>
      <w:marTop w:val="0"/>
      <w:marBottom w:val="0"/>
      <w:divBdr>
        <w:top w:val="none" w:sz="0" w:space="0" w:color="auto"/>
        <w:left w:val="none" w:sz="0" w:space="0" w:color="auto"/>
        <w:bottom w:val="none" w:sz="0" w:space="0" w:color="auto"/>
        <w:right w:val="none" w:sz="0" w:space="0" w:color="auto"/>
      </w:divBdr>
    </w:div>
    <w:div w:id="862747490">
      <w:bodyDiv w:val="1"/>
      <w:marLeft w:val="0"/>
      <w:marRight w:val="0"/>
      <w:marTop w:val="0"/>
      <w:marBottom w:val="0"/>
      <w:divBdr>
        <w:top w:val="none" w:sz="0" w:space="0" w:color="auto"/>
        <w:left w:val="none" w:sz="0" w:space="0" w:color="auto"/>
        <w:bottom w:val="none" w:sz="0" w:space="0" w:color="auto"/>
        <w:right w:val="none" w:sz="0" w:space="0" w:color="auto"/>
      </w:divBdr>
    </w:div>
    <w:div w:id="909341320">
      <w:bodyDiv w:val="1"/>
      <w:marLeft w:val="0"/>
      <w:marRight w:val="0"/>
      <w:marTop w:val="0"/>
      <w:marBottom w:val="0"/>
      <w:divBdr>
        <w:top w:val="none" w:sz="0" w:space="0" w:color="auto"/>
        <w:left w:val="none" w:sz="0" w:space="0" w:color="auto"/>
        <w:bottom w:val="none" w:sz="0" w:space="0" w:color="auto"/>
        <w:right w:val="none" w:sz="0" w:space="0" w:color="auto"/>
      </w:divBdr>
    </w:div>
    <w:div w:id="986087281">
      <w:bodyDiv w:val="1"/>
      <w:marLeft w:val="0"/>
      <w:marRight w:val="0"/>
      <w:marTop w:val="0"/>
      <w:marBottom w:val="0"/>
      <w:divBdr>
        <w:top w:val="none" w:sz="0" w:space="0" w:color="auto"/>
        <w:left w:val="none" w:sz="0" w:space="0" w:color="auto"/>
        <w:bottom w:val="none" w:sz="0" w:space="0" w:color="auto"/>
        <w:right w:val="none" w:sz="0" w:space="0" w:color="auto"/>
      </w:divBdr>
    </w:div>
    <w:div w:id="1103526112">
      <w:bodyDiv w:val="1"/>
      <w:marLeft w:val="0"/>
      <w:marRight w:val="0"/>
      <w:marTop w:val="0"/>
      <w:marBottom w:val="0"/>
      <w:divBdr>
        <w:top w:val="none" w:sz="0" w:space="0" w:color="auto"/>
        <w:left w:val="none" w:sz="0" w:space="0" w:color="auto"/>
        <w:bottom w:val="none" w:sz="0" w:space="0" w:color="auto"/>
        <w:right w:val="none" w:sz="0" w:space="0" w:color="auto"/>
      </w:divBdr>
    </w:div>
    <w:div w:id="1113091620">
      <w:bodyDiv w:val="1"/>
      <w:marLeft w:val="0"/>
      <w:marRight w:val="0"/>
      <w:marTop w:val="0"/>
      <w:marBottom w:val="0"/>
      <w:divBdr>
        <w:top w:val="none" w:sz="0" w:space="0" w:color="auto"/>
        <w:left w:val="none" w:sz="0" w:space="0" w:color="auto"/>
        <w:bottom w:val="none" w:sz="0" w:space="0" w:color="auto"/>
        <w:right w:val="none" w:sz="0" w:space="0" w:color="auto"/>
      </w:divBdr>
    </w:div>
    <w:div w:id="1134828411">
      <w:bodyDiv w:val="1"/>
      <w:marLeft w:val="0"/>
      <w:marRight w:val="0"/>
      <w:marTop w:val="0"/>
      <w:marBottom w:val="0"/>
      <w:divBdr>
        <w:top w:val="none" w:sz="0" w:space="0" w:color="auto"/>
        <w:left w:val="none" w:sz="0" w:space="0" w:color="auto"/>
        <w:bottom w:val="none" w:sz="0" w:space="0" w:color="auto"/>
        <w:right w:val="none" w:sz="0" w:space="0" w:color="auto"/>
      </w:divBdr>
    </w:div>
    <w:div w:id="1144273551">
      <w:bodyDiv w:val="1"/>
      <w:marLeft w:val="0"/>
      <w:marRight w:val="0"/>
      <w:marTop w:val="0"/>
      <w:marBottom w:val="0"/>
      <w:divBdr>
        <w:top w:val="none" w:sz="0" w:space="0" w:color="auto"/>
        <w:left w:val="none" w:sz="0" w:space="0" w:color="auto"/>
        <w:bottom w:val="none" w:sz="0" w:space="0" w:color="auto"/>
        <w:right w:val="none" w:sz="0" w:space="0" w:color="auto"/>
      </w:divBdr>
    </w:div>
    <w:div w:id="1176113934">
      <w:bodyDiv w:val="1"/>
      <w:marLeft w:val="0"/>
      <w:marRight w:val="0"/>
      <w:marTop w:val="0"/>
      <w:marBottom w:val="0"/>
      <w:divBdr>
        <w:top w:val="none" w:sz="0" w:space="0" w:color="auto"/>
        <w:left w:val="none" w:sz="0" w:space="0" w:color="auto"/>
        <w:bottom w:val="none" w:sz="0" w:space="0" w:color="auto"/>
        <w:right w:val="none" w:sz="0" w:space="0" w:color="auto"/>
      </w:divBdr>
    </w:div>
    <w:div w:id="1200505940">
      <w:bodyDiv w:val="1"/>
      <w:marLeft w:val="0"/>
      <w:marRight w:val="0"/>
      <w:marTop w:val="0"/>
      <w:marBottom w:val="0"/>
      <w:divBdr>
        <w:top w:val="none" w:sz="0" w:space="0" w:color="auto"/>
        <w:left w:val="none" w:sz="0" w:space="0" w:color="auto"/>
        <w:bottom w:val="none" w:sz="0" w:space="0" w:color="auto"/>
        <w:right w:val="none" w:sz="0" w:space="0" w:color="auto"/>
      </w:divBdr>
    </w:div>
    <w:div w:id="1203638701">
      <w:bodyDiv w:val="1"/>
      <w:marLeft w:val="0"/>
      <w:marRight w:val="0"/>
      <w:marTop w:val="0"/>
      <w:marBottom w:val="0"/>
      <w:divBdr>
        <w:top w:val="none" w:sz="0" w:space="0" w:color="auto"/>
        <w:left w:val="none" w:sz="0" w:space="0" w:color="auto"/>
        <w:bottom w:val="none" w:sz="0" w:space="0" w:color="auto"/>
        <w:right w:val="none" w:sz="0" w:space="0" w:color="auto"/>
      </w:divBdr>
    </w:div>
    <w:div w:id="1218198302">
      <w:bodyDiv w:val="1"/>
      <w:marLeft w:val="0"/>
      <w:marRight w:val="0"/>
      <w:marTop w:val="0"/>
      <w:marBottom w:val="0"/>
      <w:divBdr>
        <w:top w:val="none" w:sz="0" w:space="0" w:color="auto"/>
        <w:left w:val="none" w:sz="0" w:space="0" w:color="auto"/>
        <w:bottom w:val="none" w:sz="0" w:space="0" w:color="auto"/>
        <w:right w:val="none" w:sz="0" w:space="0" w:color="auto"/>
      </w:divBdr>
    </w:div>
    <w:div w:id="1263566077">
      <w:bodyDiv w:val="1"/>
      <w:marLeft w:val="0"/>
      <w:marRight w:val="0"/>
      <w:marTop w:val="0"/>
      <w:marBottom w:val="0"/>
      <w:divBdr>
        <w:top w:val="none" w:sz="0" w:space="0" w:color="auto"/>
        <w:left w:val="none" w:sz="0" w:space="0" w:color="auto"/>
        <w:bottom w:val="none" w:sz="0" w:space="0" w:color="auto"/>
        <w:right w:val="none" w:sz="0" w:space="0" w:color="auto"/>
      </w:divBdr>
    </w:div>
    <w:div w:id="1317610608">
      <w:bodyDiv w:val="1"/>
      <w:marLeft w:val="0"/>
      <w:marRight w:val="0"/>
      <w:marTop w:val="0"/>
      <w:marBottom w:val="0"/>
      <w:divBdr>
        <w:top w:val="none" w:sz="0" w:space="0" w:color="auto"/>
        <w:left w:val="none" w:sz="0" w:space="0" w:color="auto"/>
        <w:bottom w:val="none" w:sz="0" w:space="0" w:color="auto"/>
        <w:right w:val="none" w:sz="0" w:space="0" w:color="auto"/>
      </w:divBdr>
    </w:div>
    <w:div w:id="1353799092">
      <w:bodyDiv w:val="1"/>
      <w:marLeft w:val="0"/>
      <w:marRight w:val="0"/>
      <w:marTop w:val="0"/>
      <w:marBottom w:val="0"/>
      <w:divBdr>
        <w:top w:val="none" w:sz="0" w:space="0" w:color="auto"/>
        <w:left w:val="none" w:sz="0" w:space="0" w:color="auto"/>
        <w:bottom w:val="none" w:sz="0" w:space="0" w:color="auto"/>
        <w:right w:val="none" w:sz="0" w:space="0" w:color="auto"/>
      </w:divBdr>
    </w:div>
    <w:div w:id="1464421454">
      <w:bodyDiv w:val="1"/>
      <w:marLeft w:val="0"/>
      <w:marRight w:val="0"/>
      <w:marTop w:val="0"/>
      <w:marBottom w:val="0"/>
      <w:divBdr>
        <w:top w:val="none" w:sz="0" w:space="0" w:color="auto"/>
        <w:left w:val="none" w:sz="0" w:space="0" w:color="auto"/>
        <w:bottom w:val="none" w:sz="0" w:space="0" w:color="auto"/>
        <w:right w:val="none" w:sz="0" w:space="0" w:color="auto"/>
      </w:divBdr>
    </w:div>
    <w:div w:id="1473861843">
      <w:bodyDiv w:val="1"/>
      <w:marLeft w:val="0"/>
      <w:marRight w:val="0"/>
      <w:marTop w:val="0"/>
      <w:marBottom w:val="0"/>
      <w:divBdr>
        <w:top w:val="none" w:sz="0" w:space="0" w:color="auto"/>
        <w:left w:val="none" w:sz="0" w:space="0" w:color="auto"/>
        <w:bottom w:val="none" w:sz="0" w:space="0" w:color="auto"/>
        <w:right w:val="none" w:sz="0" w:space="0" w:color="auto"/>
      </w:divBdr>
    </w:div>
    <w:div w:id="1527594153">
      <w:bodyDiv w:val="1"/>
      <w:marLeft w:val="0"/>
      <w:marRight w:val="0"/>
      <w:marTop w:val="0"/>
      <w:marBottom w:val="0"/>
      <w:divBdr>
        <w:top w:val="none" w:sz="0" w:space="0" w:color="auto"/>
        <w:left w:val="none" w:sz="0" w:space="0" w:color="auto"/>
        <w:bottom w:val="none" w:sz="0" w:space="0" w:color="auto"/>
        <w:right w:val="none" w:sz="0" w:space="0" w:color="auto"/>
      </w:divBdr>
    </w:div>
    <w:div w:id="1566723230">
      <w:bodyDiv w:val="1"/>
      <w:marLeft w:val="0"/>
      <w:marRight w:val="0"/>
      <w:marTop w:val="0"/>
      <w:marBottom w:val="0"/>
      <w:divBdr>
        <w:top w:val="none" w:sz="0" w:space="0" w:color="auto"/>
        <w:left w:val="none" w:sz="0" w:space="0" w:color="auto"/>
        <w:bottom w:val="none" w:sz="0" w:space="0" w:color="auto"/>
        <w:right w:val="none" w:sz="0" w:space="0" w:color="auto"/>
      </w:divBdr>
    </w:div>
    <w:div w:id="1572503078">
      <w:bodyDiv w:val="1"/>
      <w:marLeft w:val="0"/>
      <w:marRight w:val="0"/>
      <w:marTop w:val="0"/>
      <w:marBottom w:val="0"/>
      <w:divBdr>
        <w:top w:val="none" w:sz="0" w:space="0" w:color="auto"/>
        <w:left w:val="none" w:sz="0" w:space="0" w:color="auto"/>
        <w:bottom w:val="none" w:sz="0" w:space="0" w:color="auto"/>
        <w:right w:val="none" w:sz="0" w:space="0" w:color="auto"/>
      </w:divBdr>
    </w:div>
    <w:div w:id="1665206771">
      <w:bodyDiv w:val="1"/>
      <w:marLeft w:val="0"/>
      <w:marRight w:val="0"/>
      <w:marTop w:val="0"/>
      <w:marBottom w:val="0"/>
      <w:divBdr>
        <w:top w:val="none" w:sz="0" w:space="0" w:color="auto"/>
        <w:left w:val="none" w:sz="0" w:space="0" w:color="auto"/>
        <w:bottom w:val="none" w:sz="0" w:space="0" w:color="auto"/>
        <w:right w:val="none" w:sz="0" w:space="0" w:color="auto"/>
      </w:divBdr>
    </w:div>
    <w:div w:id="1723555583">
      <w:bodyDiv w:val="1"/>
      <w:marLeft w:val="0"/>
      <w:marRight w:val="0"/>
      <w:marTop w:val="0"/>
      <w:marBottom w:val="0"/>
      <w:divBdr>
        <w:top w:val="none" w:sz="0" w:space="0" w:color="auto"/>
        <w:left w:val="none" w:sz="0" w:space="0" w:color="auto"/>
        <w:bottom w:val="none" w:sz="0" w:space="0" w:color="auto"/>
        <w:right w:val="none" w:sz="0" w:space="0" w:color="auto"/>
      </w:divBdr>
    </w:div>
    <w:div w:id="1749304732">
      <w:bodyDiv w:val="1"/>
      <w:marLeft w:val="0"/>
      <w:marRight w:val="0"/>
      <w:marTop w:val="0"/>
      <w:marBottom w:val="0"/>
      <w:divBdr>
        <w:top w:val="none" w:sz="0" w:space="0" w:color="auto"/>
        <w:left w:val="none" w:sz="0" w:space="0" w:color="auto"/>
        <w:bottom w:val="none" w:sz="0" w:space="0" w:color="auto"/>
        <w:right w:val="none" w:sz="0" w:space="0" w:color="auto"/>
      </w:divBdr>
    </w:div>
    <w:div w:id="1759673396">
      <w:bodyDiv w:val="1"/>
      <w:marLeft w:val="0"/>
      <w:marRight w:val="0"/>
      <w:marTop w:val="0"/>
      <w:marBottom w:val="0"/>
      <w:divBdr>
        <w:top w:val="none" w:sz="0" w:space="0" w:color="auto"/>
        <w:left w:val="none" w:sz="0" w:space="0" w:color="auto"/>
        <w:bottom w:val="none" w:sz="0" w:space="0" w:color="auto"/>
        <w:right w:val="none" w:sz="0" w:space="0" w:color="auto"/>
      </w:divBdr>
    </w:div>
    <w:div w:id="1802773132">
      <w:bodyDiv w:val="1"/>
      <w:marLeft w:val="0"/>
      <w:marRight w:val="0"/>
      <w:marTop w:val="0"/>
      <w:marBottom w:val="0"/>
      <w:divBdr>
        <w:top w:val="none" w:sz="0" w:space="0" w:color="auto"/>
        <w:left w:val="none" w:sz="0" w:space="0" w:color="auto"/>
        <w:bottom w:val="none" w:sz="0" w:space="0" w:color="auto"/>
        <w:right w:val="none" w:sz="0" w:space="0" w:color="auto"/>
      </w:divBdr>
    </w:div>
    <w:div w:id="1833837686">
      <w:bodyDiv w:val="1"/>
      <w:marLeft w:val="0"/>
      <w:marRight w:val="0"/>
      <w:marTop w:val="0"/>
      <w:marBottom w:val="0"/>
      <w:divBdr>
        <w:top w:val="none" w:sz="0" w:space="0" w:color="auto"/>
        <w:left w:val="none" w:sz="0" w:space="0" w:color="auto"/>
        <w:bottom w:val="none" w:sz="0" w:space="0" w:color="auto"/>
        <w:right w:val="none" w:sz="0" w:space="0" w:color="auto"/>
      </w:divBdr>
    </w:div>
    <w:div w:id="1844659525">
      <w:bodyDiv w:val="1"/>
      <w:marLeft w:val="0"/>
      <w:marRight w:val="0"/>
      <w:marTop w:val="0"/>
      <w:marBottom w:val="0"/>
      <w:divBdr>
        <w:top w:val="none" w:sz="0" w:space="0" w:color="auto"/>
        <w:left w:val="none" w:sz="0" w:space="0" w:color="auto"/>
        <w:bottom w:val="none" w:sz="0" w:space="0" w:color="auto"/>
        <w:right w:val="none" w:sz="0" w:space="0" w:color="auto"/>
      </w:divBdr>
    </w:div>
    <w:div w:id="1878466823">
      <w:bodyDiv w:val="1"/>
      <w:marLeft w:val="0"/>
      <w:marRight w:val="0"/>
      <w:marTop w:val="0"/>
      <w:marBottom w:val="0"/>
      <w:divBdr>
        <w:top w:val="none" w:sz="0" w:space="0" w:color="auto"/>
        <w:left w:val="none" w:sz="0" w:space="0" w:color="auto"/>
        <w:bottom w:val="none" w:sz="0" w:space="0" w:color="auto"/>
        <w:right w:val="none" w:sz="0" w:space="0" w:color="auto"/>
      </w:divBdr>
    </w:div>
    <w:div w:id="1904411589">
      <w:bodyDiv w:val="1"/>
      <w:marLeft w:val="0"/>
      <w:marRight w:val="0"/>
      <w:marTop w:val="0"/>
      <w:marBottom w:val="0"/>
      <w:divBdr>
        <w:top w:val="none" w:sz="0" w:space="0" w:color="auto"/>
        <w:left w:val="none" w:sz="0" w:space="0" w:color="auto"/>
        <w:bottom w:val="none" w:sz="0" w:space="0" w:color="auto"/>
        <w:right w:val="none" w:sz="0" w:space="0" w:color="auto"/>
      </w:divBdr>
    </w:div>
    <w:div w:id="1933591071">
      <w:bodyDiv w:val="1"/>
      <w:marLeft w:val="0"/>
      <w:marRight w:val="0"/>
      <w:marTop w:val="0"/>
      <w:marBottom w:val="0"/>
      <w:divBdr>
        <w:top w:val="none" w:sz="0" w:space="0" w:color="auto"/>
        <w:left w:val="none" w:sz="0" w:space="0" w:color="auto"/>
        <w:bottom w:val="none" w:sz="0" w:space="0" w:color="auto"/>
        <w:right w:val="none" w:sz="0" w:space="0" w:color="auto"/>
      </w:divBdr>
    </w:div>
    <w:div w:id="2008510921">
      <w:bodyDiv w:val="1"/>
      <w:marLeft w:val="0"/>
      <w:marRight w:val="0"/>
      <w:marTop w:val="0"/>
      <w:marBottom w:val="0"/>
      <w:divBdr>
        <w:top w:val="none" w:sz="0" w:space="0" w:color="auto"/>
        <w:left w:val="none" w:sz="0" w:space="0" w:color="auto"/>
        <w:bottom w:val="none" w:sz="0" w:space="0" w:color="auto"/>
        <w:right w:val="none" w:sz="0" w:space="0" w:color="auto"/>
      </w:divBdr>
    </w:div>
    <w:div w:id="2038577971">
      <w:bodyDiv w:val="1"/>
      <w:marLeft w:val="0"/>
      <w:marRight w:val="0"/>
      <w:marTop w:val="0"/>
      <w:marBottom w:val="0"/>
      <w:divBdr>
        <w:top w:val="none" w:sz="0" w:space="0" w:color="auto"/>
        <w:left w:val="none" w:sz="0" w:space="0" w:color="auto"/>
        <w:bottom w:val="none" w:sz="0" w:space="0" w:color="auto"/>
        <w:right w:val="none" w:sz="0" w:space="0" w:color="auto"/>
      </w:divBdr>
    </w:div>
    <w:div w:id="20775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749A-478E-408A-A4E5-DA4758EC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4107</Words>
  <Characters>22594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 Molina Rizo</dc:creator>
  <cp:keywords/>
  <dc:description/>
  <cp:lastModifiedBy>Rodrigo Camara</cp:lastModifiedBy>
  <cp:revision>7</cp:revision>
  <cp:lastPrinted>2018-08-14T23:11:00Z</cp:lastPrinted>
  <dcterms:created xsi:type="dcterms:W3CDTF">2021-07-07T17:14:00Z</dcterms:created>
  <dcterms:modified xsi:type="dcterms:W3CDTF">2021-07-07T19:34:00Z</dcterms:modified>
</cp:coreProperties>
</file>